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5F9EDA" w14:textId="77777777" w:rsidR="00BA755D" w:rsidRDefault="00BA755D">
      <w:pPr>
        <w:pStyle w:val="LO-normal"/>
        <w:widowControl w:val="0"/>
        <w:spacing w:line="276" w:lineRule="auto"/>
      </w:pPr>
      <w:bookmarkStart w:id="0" w:name="_GoBack"/>
      <w:bookmarkEnd w:id="0"/>
    </w:p>
    <w:p w14:paraId="445DE44A" w14:textId="77777777" w:rsidR="00BA755D" w:rsidRDefault="00B64724">
      <w:pPr>
        <w:pStyle w:val="LO-normal"/>
        <w:shd w:val="clear" w:color="auto" w:fill="FFFFFF"/>
        <w:ind w:left="142"/>
        <w:jc w:val="center"/>
        <w:rPr>
          <w:rFonts w:ascii="Arial" w:eastAsia="Arial" w:hAnsi="Arial" w:cs="Arial"/>
          <w:b/>
        </w:rPr>
      </w:pPr>
      <w:r>
        <w:rPr>
          <w:rFonts w:ascii="Arial" w:eastAsia="Arial" w:hAnsi="Arial" w:cs="Arial"/>
          <w:b/>
        </w:rPr>
        <w:t>MEMORANDO</w:t>
      </w:r>
    </w:p>
    <w:p w14:paraId="610BD594" w14:textId="77777777" w:rsidR="00BA755D" w:rsidRDefault="00BA755D">
      <w:pPr>
        <w:pStyle w:val="LO-normal"/>
        <w:shd w:val="clear" w:color="auto" w:fill="FFFFFF"/>
        <w:ind w:left="142"/>
        <w:jc w:val="center"/>
        <w:rPr>
          <w:rFonts w:ascii="Arial" w:eastAsia="Arial" w:hAnsi="Arial" w:cs="Arial"/>
          <w:b/>
        </w:rPr>
      </w:pPr>
    </w:p>
    <w:p w14:paraId="1E0D81C8" w14:textId="77777777" w:rsidR="00BA755D" w:rsidRDefault="00BA755D">
      <w:pPr>
        <w:pStyle w:val="LO-normal"/>
        <w:shd w:val="clear" w:color="auto" w:fill="FFFFFF"/>
        <w:ind w:left="142"/>
        <w:jc w:val="center"/>
        <w:rPr>
          <w:rFonts w:ascii="Arial" w:eastAsia="Arial" w:hAnsi="Arial" w:cs="Arial"/>
          <w:b/>
        </w:rPr>
      </w:pPr>
    </w:p>
    <w:p w14:paraId="0738A888" w14:textId="77777777" w:rsidR="00BA755D" w:rsidRDefault="00BA755D">
      <w:pPr>
        <w:pStyle w:val="LO-normal"/>
        <w:shd w:val="clear" w:color="auto" w:fill="FFFFFF"/>
        <w:ind w:left="142"/>
        <w:jc w:val="center"/>
        <w:rPr>
          <w:rFonts w:ascii="Arial" w:eastAsia="Arial" w:hAnsi="Arial" w:cs="Arial"/>
          <w:b/>
        </w:rPr>
      </w:pPr>
    </w:p>
    <w:p w14:paraId="23A618D7" w14:textId="77777777" w:rsidR="00BA755D" w:rsidRDefault="00BA755D">
      <w:pPr>
        <w:pStyle w:val="LO-normal"/>
        <w:shd w:val="clear" w:color="auto" w:fill="FFFFFF"/>
        <w:jc w:val="both"/>
        <w:rPr>
          <w:rFonts w:ascii="Arial" w:eastAsia="Arial" w:hAnsi="Arial" w:cs="Arial"/>
        </w:rPr>
      </w:pPr>
    </w:p>
    <w:p w14:paraId="3613A2C2" w14:textId="77777777" w:rsidR="00BA755D" w:rsidRDefault="00B64724">
      <w:pPr>
        <w:pStyle w:val="LO-normal"/>
        <w:shd w:val="clear" w:color="auto" w:fill="FFFFFF"/>
        <w:jc w:val="both"/>
        <w:rPr>
          <w:rFonts w:ascii="Arial" w:eastAsia="Arial" w:hAnsi="Arial" w:cs="Arial"/>
        </w:rPr>
      </w:pPr>
      <w:r>
        <w:rPr>
          <w:rFonts w:ascii="Arial" w:eastAsia="Arial" w:hAnsi="Arial" w:cs="Arial"/>
          <w:b/>
        </w:rPr>
        <w:t>PARA:</w:t>
      </w:r>
      <w:r>
        <w:rPr>
          <w:rFonts w:ascii="Arial" w:eastAsia="Arial" w:hAnsi="Arial" w:cs="Arial"/>
        </w:rPr>
        <w:t xml:space="preserve"> </w:t>
      </w:r>
      <w:r>
        <w:rPr>
          <w:rFonts w:ascii="Arial" w:eastAsia="Arial" w:hAnsi="Arial" w:cs="Arial"/>
        </w:rPr>
        <w:tab/>
      </w:r>
      <w:r>
        <w:rPr>
          <w:rFonts w:ascii="Arial" w:eastAsia="Arial" w:hAnsi="Arial" w:cs="Arial"/>
        </w:rPr>
        <w:tab/>
      </w:r>
      <w:r>
        <w:rPr>
          <w:rFonts w:ascii="Arial" w:eastAsia="Arial" w:hAnsi="Arial" w:cs="Arial"/>
          <w:b/>
        </w:rPr>
        <w:t>DAVID ANDRÉS GIRALDO UMBARILA</w:t>
      </w:r>
    </w:p>
    <w:p w14:paraId="2A57BE3A" w14:textId="77777777" w:rsidR="00BA755D" w:rsidRDefault="00B64724">
      <w:pPr>
        <w:pStyle w:val="LO-normal"/>
        <w:shd w:val="clear" w:color="auto" w:fill="FFFFFF"/>
        <w:ind w:left="1702" w:firstLine="425"/>
        <w:jc w:val="both"/>
        <w:rPr>
          <w:rFonts w:ascii="Arial" w:eastAsia="Arial" w:hAnsi="Arial" w:cs="Arial"/>
        </w:rPr>
      </w:pPr>
      <w:r>
        <w:rPr>
          <w:rFonts w:ascii="Arial" w:eastAsia="Arial" w:hAnsi="Arial" w:cs="Arial"/>
        </w:rPr>
        <w:t xml:space="preserve">Subsecretario de Despacho </w:t>
      </w:r>
    </w:p>
    <w:p w14:paraId="03297112" w14:textId="77777777" w:rsidR="00BA755D" w:rsidRDefault="00B64724">
      <w:pPr>
        <w:pStyle w:val="LO-normal"/>
        <w:shd w:val="clear" w:color="auto" w:fill="FFFFFF"/>
        <w:ind w:left="2125"/>
        <w:jc w:val="both"/>
        <w:rPr>
          <w:rFonts w:ascii="Arial" w:eastAsia="Arial" w:hAnsi="Arial" w:cs="Arial"/>
        </w:rPr>
      </w:pPr>
      <w:r>
        <w:rPr>
          <w:rFonts w:ascii="Arial" w:eastAsia="Arial" w:hAnsi="Arial" w:cs="Arial"/>
        </w:rPr>
        <w:t xml:space="preserve">Comisión Primera Permanente del Plan de Desarrollo y   Ordenamiento Territorial. </w:t>
      </w:r>
    </w:p>
    <w:p w14:paraId="67E36347" w14:textId="77777777" w:rsidR="00BA755D" w:rsidRDefault="00BA755D">
      <w:pPr>
        <w:pStyle w:val="LO-normal"/>
        <w:shd w:val="clear" w:color="auto" w:fill="FFFFFF"/>
        <w:rPr>
          <w:rFonts w:ascii="Arial" w:eastAsia="Arial" w:hAnsi="Arial" w:cs="Arial"/>
        </w:rPr>
      </w:pPr>
    </w:p>
    <w:p w14:paraId="19648D4A" w14:textId="77777777" w:rsidR="00BA755D" w:rsidRDefault="00B64724">
      <w:pPr>
        <w:pStyle w:val="LO-normal"/>
        <w:shd w:val="clear" w:color="auto" w:fill="FFFFFF"/>
        <w:rPr>
          <w:rFonts w:ascii="Arial" w:eastAsia="Arial" w:hAnsi="Arial" w:cs="Arial"/>
        </w:rPr>
      </w:pPr>
      <w:r>
        <w:rPr>
          <w:rFonts w:ascii="Arial" w:eastAsia="Arial" w:hAnsi="Arial" w:cs="Arial"/>
          <w:b/>
        </w:rPr>
        <w:t>DE:</w:t>
      </w:r>
      <w:r>
        <w:rPr>
          <w:rFonts w:ascii="Arial" w:eastAsia="Arial" w:hAnsi="Arial" w:cs="Arial"/>
        </w:rPr>
        <w:tab/>
      </w:r>
      <w:r>
        <w:rPr>
          <w:rFonts w:ascii="Arial" w:eastAsia="Arial" w:hAnsi="Arial" w:cs="Arial"/>
        </w:rPr>
        <w:tab/>
      </w:r>
      <w:r>
        <w:rPr>
          <w:rFonts w:ascii="Arial" w:eastAsia="Arial" w:hAnsi="Arial" w:cs="Arial"/>
        </w:rPr>
        <w:tab/>
        <w:t>H.C. FABIÁN ANDRÉS PUENTES (Coordinador).</w:t>
      </w:r>
    </w:p>
    <w:p w14:paraId="418D08FA" w14:textId="77777777" w:rsidR="00BA755D" w:rsidRDefault="00B64724">
      <w:pPr>
        <w:pStyle w:val="LO-normal"/>
        <w:shd w:val="clear" w:color="auto" w:fill="FFFFFF"/>
        <w:rPr>
          <w:rFonts w:ascii="Arial" w:eastAsia="Arial" w:hAnsi="Arial" w:cs="Arial"/>
        </w:rPr>
      </w:pPr>
      <w:r>
        <w:rPr>
          <w:rFonts w:ascii="Arial" w:eastAsia="Arial" w:hAnsi="Arial" w:cs="Arial"/>
        </w:rPr>
        <w:tab/>
      </w:r>
      <w:r>
        <w:rPr>
          <w:rFonts w:ascii="Arial" w:eastAsia="Arial" w:hAnsi="Arial" w:cs="Arial"/>
        </w:rPr>
        <w:tab/>
      </w:r>
      <w:r>
        <w:rPr>
          <w:rFonts w:ascii="Arial" w:eastAsia="Arial" w:hAnsi="Arial" w:cs="Arial"/>
        </w:rPr>
        <w:tab/>
        <w:t>H.C. ÓSCAR JAIME RAMÍREZ VAHOS</w:t>
      </w:r>
    </w:p>
    <w:p w14:paraId="5A9E4865" w14:textId="77777777" w:rsidR="00BA755D" w:rsidRDefault="00BA755D">
      <w:pPr>
        <w:pStyle w:val="LO-normal"/>
        <w:shd w:val="clear" w:color="auto" w:fill="FFFFFF"/>
        <w:rPr>
          <w:rFonts w:ascii="Arial" w:eastAsia="Arial" w:hAnsi="Arial" w:cs="Arial"/>
        </w:rPr>
      </w:pPr>
    </w:p>
    <w:p w14:paraId="054C21E9" w14:textId="77777777" w:rsidR="00BA755D" w:rsidRDefault="00B64724">
      <w:pPr>
        <w:pStyle w:val="LO-normal"/>
        <w:shd w:val="clear" w:color="auto" w:fill="FFFFFF"/>
        <w:jc w:val="both"/>
        <w:rPr>
          <w:rFonts w:ascii="Arial" w:eastAsia="Arial" w:hAnsi="Arial" w:cs="Arial"/>
        </w:rPr>
      </w:pPr>
      <w:r>
        <w:rPr>
          <w:rFonts w:ascii="Arial" w:eastAsia="Arial" w:hAnsi="Arial" w:cs="Arial"/>
          <w:b/>
        </w:rPr>
        <w:t>ASUNTO:</w:t>
      </w:r>
      <w:r>
        <w:rPr>
          <w:rFonts w:ascii="Arial" w:eastAsia="Arial" w:hAnsi="Arial" w:cs="Arial"/>
        </w:rPr>
        <w:t xml:space="preserve"> </w:t>
      </w:r>
      <w:r>
        <w:rPr>
          <w:rFonts w:ascii="Arial" w:eastAsia="Arial" w:hAnsi="Arial" w:cs="Arial"/>
        </w:rPr>
        <w:tab/>
      </w:r>
      <w:r>
        <w:rPr>
          <w:rFonts w:ascii="Arial" w:eastAsia="Arial" w:hAnsi="Arial" w:cs="Arial"/>
        </w:rPr>
        <w:tab/>
        <w:t>Presentación Ponencia P.A. 184 de 2025.</w:t>
      </w:r>
    </w:p>
    <w:p w14:paraId="54BDAB9B" w14:textId="77777777" w:rsidR="00BA755D" w:rsidRDefault="00BA755D">
      <w:pPr>
        <w:pStyle w:val="LO-normal"/>
        <w:shd w:val="clear" w:color="auto" w:fill="FFFFFF"/>
        <w:jc w:val="both"/>
        <w:rPr>
          <w:rFonts w:ascii="Arial" w:eastAsia="Arial" w:hAnsi="Arial" w:cs="Arial"/>
        </w:rPr>
      </w:pPr>
    </w:p>
    <w:p w14:paraId="0B6D297C" w14:textId="77777777" w:rsidR="00BA755D" w:rsidRDefault="00B64724">
      <w:pPr>
        <w:pStyle w:val="LO-normal"/>
        <w:shd w:val="clear" w:color="auto" w:fill="FFFFFF"/>
        <w:ind w:left="284"/>
        <w:rPr>
          <w:rFonts w:ascii="Arial" w:eastAsia="Arial" w:hAnsi="Arial" w:cs="Arial"/>
        </w:rPr>
      </w:pPr>
      <w:r>
        <w:rPr>
          <w:rFonts w:ascii="Arial" w:eastAsia="Arial" w:hAnsi="Arial" w:cs="Arial"/>
        </w:rPr>
        <w:t xml:space="preserve"> </w:t>
      </w:r>
    </w:p>
    <w:p w14:paraId="75DD3B28" w14:textId="77777777" w:rsidR="00BA755D" w:rsidRDefault="00BA755D">
      <w:pPr>
        <w:pStyle w:val="LO-normal"/>
        <w:shd w:val="clear" w:color="auto" w:fill="FFFFFF"/>
        <w:jc w:val="both"/>
        <w:rPr>
          <w:rFonts w:ascii="Arial" w:eastAsia="Arial" w:hAnsi="Arial" w:cs="Arial"/>
        </w:rPr>
      </w:pPr>
    </w:p>
    <w:p w14:paraId="433367D0" w14:textId="77777777" w:rsidR="00BA755D" w:rsidRDefault="00B64724">
      <w:pPr>
        <w:pStyle w:val="LO-normal"/>
        <w:shd w:val="clear" w:color="auto" w:fill="FFFFFF"/>
        <w:jc w:val="both"/>
        <w:rPr>
          <w:rFonts w:ascii="Arial" w:eastAsia="Arial" w:hAnsi="Arial" w:cs="Arial"/>
        </w:rPr>
      </w:pPr>
      <w:r>
        <w:rPr>
          <w:rFonts w:ascii="Arial" w:eastAsia="Arial" w:hAnsi="Arial" w:cs="Arial"/>
        </w:rPr>
        <w:t xml:space="preserve">Respetado Doctor, </w:t>
      </w:r>
    </w:p>
    <w:p w14:paraId="26228130" w14:textId="77777777" w:rsidR="00BA755D" w:rsidRDefault="00BA755D">
      <w:pPr>
        <w:pStyle w:val="LO-normal"/>
        <w:shd w:val="clear" w:color="auto" w:fill="FFFFFF"/>
        <w:jc w:val="both"/>
        <w:rPr>
          <w:rFonts w:ascii="Arial" w:eastAsia="Arial" w:hAnsi="Arial" w:cs="Arial"/>
        </w:rPr>
      </w:pPr>
    </w:p>
    <w:p w14:paraId="14C2D420" w14:textId="364E5502" w:rsidR="00BA755D" w:rsidRDefault="00B64724">
      <w:pPr>
        <w:pStyle w:val="LO-normal"/>
        <w:shd w:val="clear" w:color="auto" w:fill="FFFFFF"/>
        <w:jc w:val="both"/>
        <w:rPr>
          <w:rFonts w:ascii="Arial" w:eastAsia="Arial" w:hAnsi="Arial" w:cs="Arial"/>
        </w:rPr>
      </w:pPr>
      <w:r>
        <w:rPr>
          <w:rFonts w:ascii="Arial" w:eastAsia="Arial" w:hAnsi="Arial" w:cs="Arial"/>
        </w:rPr>
        <w:t xml:space="preserve">En cumplimiento con la designación de la Mesa Directiva de la Corporación, mediante correo electrónico el día 27 de enero de 2025 con Cordis IE1745, como ponentes del Proyecto de Acuerdo </w:t>
      </w:r>
      <w:r>
        <w:rPr>
          <w:rFonts w:ascii="Arial" w:eastAsia="Arial" w:hAnsi="Arial" w:cs="Arial"/>
          <w:b/>
        </w:rPr>
        <w:t>No 184 de 2025. “</w:t>
      </w:r>
      <w:r>
        <w:rPr>
          <w:rFonts w:ascii="Arial" w:eastAsia="Arial" w:hAnsi="Arial" w:cs="Arial"/>
          <w:b/>
          <w:u w:val="single"/>
        </w:rPr>
        <w:t xml:space="preserve">Por el cual se dictan </w:t>
      </w:r>
      <w:r>
        <w:rPr>
          <w:rFonts w:ascii="Arial" w:eastAsia="Arial" w:hAnsi="Arial" w:cs="Arial"/>
          <w:b/>
          <w:i/>
          <w:u w:val="single"/>
        </w:rPr>
        <w:t>lineamientos para orientar y fortalecer las condiciones mínimas de revisión de los sistemas de protección contra incendios estructurales en Bogotá D.C.”,</w:t>
      </w:r>
      <w:r>
        <w:rPr>
          <w:rFonts w:ascii="Arial" w:eastAsia="Arial" w:hAnsi="Arial" w:cs="Arial"/>
          <w:b/>
          <w:i/>
        </w:rPr>
        <w:t xml:space="preserve"> </w:t>
      </w:r>
      <w:r>
        <w:rPr>
          <w:rFonts w:ascii="Arial" w:eastAsia="Arial" w:hAnsi="Arial" w:cs="Arial"/>
        </w:rPr>
        <w:t xml:space="preserve">nos permitimos rendir </w:t>
      </w:r>
      <w:r>
        <w:rPr>
          <w:rFonts w:ascii="Arial" w:eastAsia="Arial" w:hAnsi="Arial" w:cs="Arial"/>
          <w:b/>
        </w:rPr>
        <w:t>PONENCIA POSITIVA CONJUNTA</w:t>
      </w:r>
      <w:r>
        <w:rPr>
          <w:rFonts w:ascii="Arial" w:eastAsia="Arial" w:hAnsi="Arial" w:cs="Arial"/>
          <w:b/>
          <w:highlight w:val="white"/>
        </w:rPr>
        <w:t xml:space="preserve"> </w:t>
      </w:r>
      <w:r>
        <w:rPr>
          <w:rFonts w:ascii="Arial" w:eastAsia="Arial" w:hAnsi="Arial" w:cs="Arial"/>
        </w:rPr>
        <w:t>en los términos del Artículo 71 del Acuerdo 741 de 2019 modificado por el Acuerdo 837 de 2022. “</w:t>
      </w:r>
      <w:r>
        <w:rPr>
          <w:rFonts w:ascii="Arial" w:eastAsia="Arial" w:hAnsi="Arial" w:cs="Arial"/>
          <w:i/>
        </w:rPr>
        <w:t>Por el cual se expide el reglamento interno del Concejo de Bogotá, Distrito Capital</w:t>
      </w:r>
      <w:r>
        <w:rPr>
          <w:rFonts w:ascii="Arial" w:eastAsia="Arial" w:hAnsi="Arial" w:cs="Arial"/>
        </w:rPr>
        <w:t>”.</w:t>
      </w:r>
    </w:p>
    <w:p w14:paraId="11508042" w14:textId="77777777" w:rsidR="00BA755D" w:rsidRDefault="00BA755D">
      <w:pPr>
        <w:pStyle w:val="LO-normal"/>
        <w:shd w:val="clear" w:color="auto" w:fill="FFFFFF"/>
        <w:jc w:val="both"/>
        <w:rPr>
          <w:rFonts w:ascii="Arial" w:eastAsia="Arial" w:hAnsi="Arial" w:cs="Arial"/>
          <w:i/>
          <w:u w:val="single"/>
        </w:rPr>
      </w:pPr>
    </w:p>
    <w:p w14:paraId="58551308" w14:textId="77777777" w:rsidR="00BA755D" w:rsidRDefault="00B64724">
      <w:pPr>
        <w:pStyle w:val="LO-normal"/>
        <w:shd w:val="clear" w:color="auto" w:fill="FFFFFF"/>
        <w:jc w:val="both"/>
        <w:rPr>
          <w:rFonts w:ascii="Arial" w:eastAsia="Arial" w:hAnsi="Arial" w:cs="Arial"/>
        </w:rPr>
      </w:pPr>
      <w:r>
        <w:rPr>
          <w:rFonts w:ascii="Arial" w:eastAsia="Arial" w:hAnsi="Arial" w:cs="Arial"/>
        </w:rPr>
        <w:t>Cordialmente,</w:t>
      </w:r>
    </w:p>
    <w:p w14:paraId="52C7F671" w14:textId="313AC2C2" w:rsidR="00BA755D" w:rsidRDefault="00BA755D">
      <w:pPr>
        <w:pStyle w:val="LO-normal"/>
        <w:shd w:val="clear" w:color="auto" w:fill="FFFFFF"/>
        <w:jc w:val="both"/>
        <w:rPr>
          <w:rFonts w:ascii="Arial" w:eastAsia="Arial" w:hAnsi="Arial" w:cs="Arial"/>
        </w:rPr>
      </w:pPr>
    </w:p>
    <w:p w14:paraId="5C463367" w14:textId="77777777" w:rsidR="00BA755D" w:rsidRDefault="00BA755D">
      <w:pPr>
        <w:pStyle w:val="LO-normal"/>
        <w:shd w:val="clear" w:color="auto" w:fill="FFFFFF"/>
        <w:jc w:val="both"/>
        <w:rPr>
          <w:rFonts w:ascii="Arial" w:eastAsia="Arial" w:hAnsi="Arial" w:cs="Arial"/>
        </w:rPr>
      </w:pPr>
    </w:p>
    <w:p w14:paraId="0C2ED4E8" w14:textId="77777777" w:rsidR="00BA755D" w:rsidRDefault="00B64724">
      <w:pPr>
        <w:pStyle w:val="LO-normal"/>
        <w:shd w:val="clear" w:color="auto" w:fill="FFFFFF"/>
        <w:rPr>
          <w:rFonts w:ascii="Arial" w:eastAsia="Arial" w:hAnsi="Arial" w:cs="Arial"/>
          <w:b/>
        </w:rP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
    <w:p w14:paraId="7BAA7DA0" w14:textId="77777777" w:rsidR="00BA755D" w:rsidRDefault="00BA755D">
      <w:pPr>
        <w:pStyle w:val="LO-normal"/>
        <w:shd w:val="clear" w:color="auto" w:fill="FFFFFF"/>
        <w:rPr>
          <w:rFonts w:ascii="Arial" w:eastAsia="Arial" w:hAnsi="Arial" w:cs="Arial"/>
          <w:b/>
        </w:rPr>
      </w:pPr>
    </w:p>
    <w:p w14:paraId="56A26FEA" w14:textId="77777777" w:rsidR="00BA755D" w:rsidRDefault="00BA755D">
      <w:pPr>
        <w:pStyle w:val="LO-normal"/>
        <w:shd w:val="clear" w:color="auto" w:fill="FFFFFF"/>
        <w:rPr>
          <w:rFonts w:ascii="Arial" w:eastAsia="Arial" w:hAnsi="Arial" w:cs="Arial"/>
          <w:b/>
        </w:rPr>
      </w:pPr>
    </w:p>
    <w:p w14:paraId="30AC4989" w14:textId="77777777" w:rsidR="00BA755D" w:rsidRDefault="00B64724">
      <w:pPr>
        <w:pStyle w:val="LO-normal"/>
        <w:shd w:val="clear" w:color="auto" w:fill="FFFFFF"/>
        <w:rPr>
          <w:rFonts w:ascii="Arial" w:eastAsia="Arial" w:hAnsi="Arial" w:cs="Arial"/>
          <w:b/>
          <w:color w:val="000000"/>
        </w:rPr>
      </w:pPr>
      <w:r>
        <w:rPr>
          <w:rFonts w:ascii="Arial" w:eastAsia="Arial" w:hAnsi="Arial" w:cs="Arial"/>
          <w:b/>
        </w:rPr>
        <w:t xml:space="preserve">FABIÁN ANDRÉS PUENTES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color w:val="000000"/>
        </w:rPr>
        <w:t>ÓSCAR JAIME RAMÍREZ VAHOS</w:t>
      </w:r>
    </w:p>
    <w:p w14:paraId="5C8DEB54" w14:textId="77777777" w:rsidR="00BA755D" w:rsidRDefault="00B64724">
      <w:pPr>
        <w:pStyle w:val="LO-normal"/>
        <w:shd w:val="clear" w:color="auto" w:fill="FFFFFF"/>
        <w:rPr>
          <w:rFonts w:ascii="Arial" w:eastAsia="Arial" w:hAnsi="Arial" w:cs="Arial"/>
        </w:rPr>
      </w:pPr>
      <w:r>
        <w:rPr>
          <w:rFonts w:ascii="Arial" w:eastAsia="Arial" w:hAnsi="Arial" w:cs="Arial"/>
        </w:rPr>
        <w:t xml:space="preserve">     Coordinador ponente</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 xml:space="preserve">         Ponente</w:t>
      </w:r>
      <w:r>
        <w:rPr>
          <w:rFonts w:ascii="Arial" w:eastAsia="Arial" w:hAnsi="Arial" w:cs="Arial"/>
        </w:rPr>
        <w:tab/>
      </w:r>
      <w:r>
        <w:rPr>
          <w:rFonts w:ascii="Arial" w:eastAsia="Arial" w:hAnsi="Arial" w:cs="Arial"/>
        </w:rPr>
        <w:tab/>
      </w:r>
    </w:p>
    <w:p w14:paraId="4B89D832" w14:textId="77777777" w:rsidR="00BA755D" w:rsidRDefault="00BA755D">
      <w:pPr>
        <w:pStyle w:val="LO-normal"/>
        <w:shd w:val="clear" w:color="auto" w:fill="FFFFFF"/>
        <w:rPr>
          <w:rFonts w:ascii="Arial" w:eastAsia="Arial" w:hAnsi="Arial" w:cs="Arial"/>
        </w:rPr>
      </w:pPr>
    </w:p>
    <w:p w14:paraId="0237D879" w14:textId="77777777" w:rsidR="00BA755D" w:rsidRDefault="00B64724">
      <w:pPr>
        <w:pStyle w:val="LO-normal"/>
        <w:shd w:val="clear" w:color="auto" w:fill="FFFFFF"/>
        <w:rPr>
          <w:rFonts w:ascii="Arial" w:eastAsia="Arial" w:hAnsi="Arial" w:cs="Arial"/>
        </w:rPr>
      </w:pPr>
      <w:r>
        <w:rPr>
          <w:rFonts w:ascii="Arial" w:eastAsia="Arial" w:hAnsi="Arial" w:cs="Arial"/>
        </w:rPr>
        <w:tab/>
      </w:r>
      <w:r>
        <w:rPr>
          <w:rFonts w:ascii="Arial" w:eastAsia="Arial" w:hAnsi="Arial" w:cs="Arial"/>
        </w:rPr>
        <w:tab/>
      </w:r>
      <w:r>
        <w:rPr>
          <w:rFonts w:ascii="Arial" w:eastAsia="Arial" w:hAnsi="Arial" w:cs="Arial"/>
        </w:rPr>
        <w:tab/>
      </w:r>
    </w:p>
    <w:p w14:paraId="3378596C" w14:textId="77777777" w:rsidR="00BA755D" w:rsidRDefault="00BA755D">
      <w:pPr>
        <w:pStyle w:val="LO-normal"/>
        <w:shd w:val="clear" w:color="auto" w:fill="FFFFFF"/>
        <w:rPr>
          <w:rFonts w:ascii="Arial" w:eastAsia="Arial" w:hAnsi="Arial" w:cs="Arial"/>
        </w:rPr>
      </w:pPr>
    </w:p>
    <w:p w14:paraId="2B0B584F" w14:textId="77777777" w:rsidR="00BA755D" w:rsidRDefault="00BA755D">
      <w:pPr>
        <w:pStyle w:val="LO-normal"/>
        <w:shd w:val="clear" w:color="auto" w:fill="FFFFFF"/>
        <w:rPr>
          <w:rFonts w:ascii="Arial" w:eastAsia="Arial" w:hAnsi="Arial" w:cs="Arial"/>
        </w:rPr>
      </w:pPr>
    </w:p>
    <w:p w14:paraId="6D479188" w14:textId="77777777" w:rsidR="00BA755D" w:rsidRDefault="00BA755D">
      <w:pPr>
        <w:pStyle w:val="LO-normal"/>
        <w:shd w:val="clear" w:color="auto" w:fill="FFFFFF"/>
        <w:rPr>
          <w:rFonts w:ascii="Arial" w:eastAsia="Arial" w:hAnsi="Arial" w:cs="Arial"/>
        </w:rPr>
      </w:pPr>
    </w:p>
    <w:p w14:paraId="6DA70F81" w14:textId="77777777" w:rsidR="00BA755D" w:rsidRDefault="00BA755D">
      <w:pPr>
        <w:pStyle w:val="LO-normal"/>
        <w:shd w:val="clear" w:color="auto" w:fill="FFFFFF"/>
        <w:rPr>
          <w:rFonts w:ascii="Arial" w:eastAsia="Arial" w:hAnsi="Arial" w:cs="Arial"/>
        </w:rPr>
      </w:pPr>
    </w:p>
    <w:p w14:paraId="3D0AC6DE" w14:textId="77777777" w:rsidR="00BA755D" w:rsidRDefault="00BA755D">
      <w:pPr>
        <w:pStyle w:val="LO-normal"/>
        <w:shd w:val="clear" w:color="auto" w:fill="FFFFFF"/>
        <w:rPr>
          <w:rFonts w:ascii="Arial" w:eastAsia="Arial" w:hAnsi="Arial" w:cs="Arial"/>
        </w:rPr>
      </w:pPr>
    </w:p>
    <w:p w14:paraId="617C07FD" w14:textId="77777777" w:rsidR="00BA755D" w:rsidRDefault="00BA755D">
      <w:pPr>
        <w:pStyle w:val="LO-normal"/>
        <w:shd w:val="clear" w:color="auto" w:fill="FFFFFF"/>
        <w:rPr>
          <w:rFonts w:ascii="Arial" w:eastAsia="Arial" w:hAnsi="Arial" w:cs="Arial"/>
        </w:rPr>
      </w:pPr>
    </w:p>
    <w:p w14:paraId="6E4B70D7" w14:textId="77777777" w:rsidR="00BA755D" w:rsidRDefault="00BA755D">
      <w:pPr>
        <w:pStyle w:val="LO-normal"/>
        <w:shd w:val="clear" w:color="auto" w:fill="FFFFFF"/>
        <w:rPr>
          <w:rFonts w:ascii="Arial" w:eastAsia="Arial" w:hAnsi="Arial" w:cs="Arial"/>
        </w:rPr>
      </w:pPr>
    </w:p>
    <w:p w14:paraId="5F34D294" w14:textId="77777777" w:rsidR="00BA755D" w:rsidRDefault="00B64724">
      <w:pPr>
        <w:pStyle w:val="LO-normal"/>
        <w:shd w:val="clear" w:color="auto" w:fill="FFFFFF"/>
        <w:jc w:val="center"/>
        <w:rPr>
          <w:rFonts w:ascii="Arial" w:eastAsia="Arial" w:hAnsi="Arial" w:cs="Arial"/>
          <w:b/>
        </w:rPr>
      </w:pPr>
      <w:r>
        <w:rPr>
          <w:rFonts w:ascii="Arial" w:eastAsia="Arial" w:hAnsi="Arial" w:cs="Arial"/>
          <w:b/>
        </w:rPr>
        <w:t>PONENCIA PARA PRIMER DEBATE</w:t>
      </w:r>
    </w:p>
    <w:p w14:paraId="087F55F4" w14:textId="77777777" w:rsidR="00BA755D" w:rsidRDefault="00B64724">
      <w:pPr>
        <w:pStyle w:val="LO-normal"/>
        <w:shd w:val="clear" w:color="auto" w:fill="FFFFFF"/>
        <w:jc w:val="center"/>
        <w:rPr>
          <w:rFonts w:ascii="Arial" w:eastAsia="Arial" w:hAnsi="Arial" w:cs="Arial"/>
          <w:b/>
        </w:rPr>
      </w:pPr>
      <w:r>
        <w:rPr>
          <w:rFonts w:ascii="Arial" w:eastAsia="Arial" w:hAnsi="Arial" w:cs="Arial"/>
          <w:b/>
        </w:rPr>
        <w:t>PROYECTO DE ACUERDO No. 184 de 2025</w:t>
      </w:r>
    </w:p>
    <w:p w14:paraId="1811317B" w14:textId="77777777" w:rsidR="00BA755D" w:rsidRDefault="00BA755D">
      <w:pPr>
        <w:pStyle w:val="LO-normal"/>
        <w:shd w:val="clear" w:color="auto" w:fill="FFFFFF"/>
        <w:jc w:val="center"/>
        <w:rPr>
          <w:rFonts w:ascii="Arial" w:eastAsia="Arial" w:hAnsi="Arial" w:cs="Arial"/>
          <w:b/>
        </w:rPr>
      </w:pPr>
    </w:p>
    <w:p w14:paraId="66A40C3B" w14:textId="77777777" w:rsidR="00BA755D" w:rsidRDefault="00B64724">
      <w:pPr>
        <w:pStyle w:val="LO-normal"/>
        <w:jc w:val="center"/>
        <w:rPr>
          <w:rFonts w:ascii="Arial" w:eastAsia="Arial" w:hAnsi="Arial" w:cs="Arial"/>
          <w:b/>
          <w:sz w:val="22"/>
          <w:szCs w:val="22"/>
        </w:rPr>
      </w:pPr>
      <w:r>
        <w:rPr>
          <w:rFonts w:ascii="Arial" w:eastAsia="Arial" w:hAnsi="Arial" w:cs="Arial"/>
          <w:b/>
          <w:sz w:val="22"/>
          <w:szCs w:val="22"/>
        </w:rPr>
        <w:t>“</w:t>
      </w:r>
      <w:r>
        <w:rPr>
          <w:rFonts w:ascii="Arial" w:eastAsia="Arial" w:hAnsi="Arial" w:cs="Arial"/>
          <w:b/>
          <w:i/>
          <w:sz w:val="22"/>
          <w:szCs w:val="22"/>
        </w:rPr>
        <w:t>Por el cual se dictan lineamientos para orientar y fortalecer las condiciones mínimas de revisión de los sistemas de protección contra incendios estructurales en Bogotá   D.C.”</w:t>
      </w:r>
    </w:p>
    <w:p w14:paraId="3E761763" w14:textId="77777777" w:rsidR="00BA755D" w:rsidRDefault="00BA755D">
      <w:pPr>
        <w:pStyle w:val="LO-normal"/>
        <w:jc w:val="center"/>
        <w:rPr>
          <w:rFonts w:ascii="Arial" w:eastAsia="Arial" w:hAnsi="Arial" w:cs="Arial"/>
          <w:b/>
        </w:rPr>
      </w:pPr>
    </w:p>
    <w:p w14:paraId="536C16A4" w14:textId="77777777" w:rsidR="00BA755D" w:rsidRDefault="00BA755D">
      <w:pPr>
        <w:pStyle w:val="LO-normal"/>
        <w:shd w:val="clear" w:color="auto" w:fill="FFFFFF"/>
        <w:jc w:val="center"/>
        <w:rPr>
          <w:rFonts w:ascii="Arial" w:eastAsia="Arial" w:hAnsi="Arial" w:cs="Arial"/>
          <w:b/>
        </w:rPr>
      </w:pPr>
    </w:p>
    <w:sdt>
      <w:sdtPr>
        <w:id w:val="-1643178301"/>
        <w:docPartObj>
          <w:docPartGallery w:val="Table of Contents"/>
          <w:docPartUnique/>
        </w:docPartObj>
      </w:sdtPr>
      <w:sdtEndPr/>
      <w:sdtContent>
        <w:p w14:paraId="74AD7E12" w14:textId="77777777" w:rsidR="00BA755D" w:rsidRDefault="00B64724">
          <w:pPr>
            <w:pStyle w:val="LO-normal"/>
            <w:tabs>
              <w:tab w:val="right" w:pos="9062"/>
            </w:tabs>
            <w:spacing w:after="100" w:line="259" w:lineRule="auto"/>
            <w:rPr>
              <w:rFonts w:ascii="Arial" w:eastAsia="Arial" w:hAnsi="Arial" w:cs="Arial"/>
              <w:b/>
              <w:color w:val="000000"/>
            </w:rPr>
          </w:pPr>
          <w:r>
            <w:fldChar w:fldCharType="begin"/>
          </w:r>
          <w:r>
            <w:instrText xml:space="preserve"> TOC \h \u \z \t "Heading 1,1,Heading 2,2,Heading 3,3,Heading 4,4,Heading 5,5,Heading 6,6,"</w:instrText>
          </w:r>
          <w:r>
            <w:fldChar w:fldCharType="separate"/>
          </w:r>
          <w:hyperlink w:anchor="_heading=h.30j0zll">
            <w:r>
              <w:rPr>
                <w:rFonts w:ascii="Arial" w:eastAsia="Arial" w:hAnsi="Arial" w:cs="Arial"/>
                <w:b/>
                <w:color w:val="000000"/>
              </w:rPr>
              <w:t>1. OBJETO DEL PROYECTO DE ACUERDO</w:t>
            </w:r>
            <w:r>
              <w:rPr>
                <w:rFonts w:ascii="Arial" w:eastAsia="Arial" w:hAnsi="Arial" w:cs="Arial"/>
                <w:b/>
                <w:color w:val="000000"/>
              </w:rPr>
              <w:tab/>
              <w:t>3</w:t>
            </w:r>
          </w:hyperlink>
        </w:p>
        <w:p w14:paraId="3ECA7957" w14:textId="77777777" w:rsidR="00BA755D" w:rsidRDefault="00B64724">
          <w:pPr>
            <w:pStyle w:val="LO-normal"/>
            <w:tabs>
              <w:tab w:val="right" w:pos="9062"/>
            </w:tabs>
            <w:spacing w:after="100" w:line="259" w:lineRule="auto"/>
            <w:rPr>
              <w:rFonts w:ascii="Arial" w:eastAsia="Arial" w:hAnsi="Arial" w:cs="Arial"/>
              <w:b/>
              <w:color w:val="000000"/>
            </w:rPr>
          </w:pPr>
          <w:r>
            <w:rPr>
              <w:rFonts w:ascii="Arial" w:eastAsia="Arial" w:hAnsi="Arial" w:cs="Arial"/>
              <w:b/>
              <w:color w:val="000000"/>
            </w:rPr>
            <w:t xml:space="preserve">2. </w:t>
          </w:r>
          <w:hyperlink w:anchor="_heading=h.1fob9te">
            <w:r>
              <w:rPr>
                <w:rFonts w:ascii="Arial" w:eastAsia="Arial" w:hAnsi="Arial" w:cs="Arial"/>
                <w:b/>
                <w:color w:val="000000"/>
              </w:rPr>
              <w:t>ANTECEDENTES DE LA INICIATIVA</w:t>
            </w:r>
            <w:r>
              <w:rPr>
                <w:rFonts w:ascii="Arial" w:eastAsia="Arial" w:hAnsi="Arial" w:cs="Arial"/>
                <w:b/>
                <w:color w:val="000000"/>
              </w:rPr>
              <w:tab/>
              <w:t>3</w:t>
            </w:r>
          </w:hyperlink>
        </w:p>
        <w:p w14:paraId="789DE1BC" w14:textId="77777777" w:rsidR="00BA755D" w:rsidRDefault="00B64724">
          <w:pPr>
            <w:pStyle w:val="LO-normal"/>
            <w:tabs>
              <w:tab w:val="right" w:pos="9062"/>
            </w:tabs>
            <w:spacing w:after="100" w:line="259" w:lineRule="auto"/>
            <w:rPr>
              <w:b/>
            </w:rPr>
          </w:pPr>
          <w:r>
            <w:rPr>
              <w:rFonts w:ascii="Arial" w:eastAsia="Arial" w:hAnsi="Arial" w:cs="Arial"/>
              <w:b/>
              <w:color w:val="000000"/>
            </w:rPr>
            <w:t>3.</w:t>
          </w:r>
          <w:hyperlink w:anchor="_heading=h.3znysh7">
            <w:r>
              <w:rPr>
                <w:rFonts w:ascii="Arial" w:eastAsia="Arial" w:hAnsi="Arial" w:cs="Arial"/>
                <w:b/>
                <w:color w:val="000000"/>
              </w:rPr>
              <w:t xml:space="preserve"> JUSTIFICACIÓN Y ANÁLISIS DE CONVENIENCIA DE LA INICIATIVA SEGÚN EL AUTOR</w:t>
            </w:r>
            <w:r>
              <w:rPr>
                <w:rFonts w:ascii="Arial" w:eastAsia="Arial" w:hAnsi="Arial" w:cs="Arial"/>
                <w:b/>
                <w:color w:val="000000"/>
              </w:rPr>
              <w:tab/>
            </w:r>
          </w:hyperlink>
          <w:r>
            <w:rPr>
              <w:rFonts w:ascii="Arial" w:eastAsia="Arial" w:hAnsi="Arial" w:cs="Arial"/>
              <w:b/>
            </w:rPr>
            <w:t>3</w:t>
          </w:r>
        </w:p>
        <w:p w14:paraId="5BE9CF0C" w14:textId="77777777" w:rsidR="00BA755D" w:rsidRDefault="00B64724">
          <w:pPr>
            <w:pStyle w:val="LO-normal"/>
            <w:tabs>
              <w:tab w:val="right" w:pos="9062"/>
            </w:tabs>
            <w:spacing w:after="100" w:line="259" w:lineRule="auto"/>
            <w:rPr>
              <w:rFonts w:ascii="Arial" w:eastAsia="Arial" w:hAnsi="Arial" w:cs="Arial"/>
              <w:b/>
              <w:color w:val="000000"/>
            </w:rPr>
          </w:pPr>
          <w:r>
            <w:rPr>
              <w:rFonts w:ascii="Arial" w:eastAsia="Arial" w:hAnsi="Arial" w:cs="Arial"/>
              <w:b/>
            </w:rPr>
            <w:t xml:space="preserve">4. </w:t>
          </w:r>
          <w:hyperlink w:anchor="_heading=h.tyjcwt">
            <w:r>
              <w:rPr>
                <w:rFonts w:ascii="Arial" w:eastAsia="Arial" w:hAnsi="Arial" w:cs="Arial"/>
                <w:b/>
                <w:color w:val="000000"/>
              </w:rPr>
              <w:t>SUSTENTO JURÍDICO DE LA INICIATIVA</w:t>
            </w:r>
            <w:r>
              <w:rPr>
                <w:rFonts w:ascii="Arial" w:eastAsia="Arial" w:hAnsi="Arial" w:cs="Arial"/>
                <w:b/>
                <w:color w:val="000000"/>
              </w:rPr>
              <w:tab/>
            </w:r>
          </w:hyperlink>
          <w:r>
            <w:rPr>
              <w:rFonts w:ascii="Arial" w:eastAsia="Arial" w:hAnsi="Arial" w:cs="Arial"/>
              <w:b/>
            </w:rPr>
            <w:t>7</w:t>
          </w:r>
        </w:p>
        <w:p w14:paraId="33B8F2FA" w14:textId="77777777" w:rsidR="00BA755D" w:rsidRDefault="00B64724">
          <w:pPr>
            <w:pStyle w:val="LO-normal"/>
            <w:tabs>
              <w:tab w:val="right" w:pos="9062"/>
            </w:tabs>
            <w:spacing w:after="100" w:line="259" w:lineRule="auto"/>
            <w:ind w:left="220"/>
            <w:rPr>
              <w:rFonts w:ascii="Arial" w:eastAsia="Arial" w:hAnsi="Arial" w:cs="Arial"/>
              <w:b/>
              <w:color w:val="000000"/>
            </w:rPr>
          </w:pPr>
          <w:r>
            <w:rPr>
              <w:rFonts w:ascii="Arial" w:eastAsia="Arial" w:hAnsi="Arial" w:cs="Arial"/>
              <w:b/>
              <w:color w:val="000000"/>
            </w:rPr>
            <w:t>4</w:t>
          </w:r>
          <w:hyperlink w:anchor="_heading=h.3rdcrjn">
            <w:r>
              <w:rPr>
                <w:rFonts w:ascii="Arial" w:eastAsia="Arial" w:hAnsi="Arial" w:cs="Arial"/>
                <w:b/>
                <w:color w:val="000000"/>
              </w:rPr>
              <w:t>.</w:t>
            </w:r>
          </w:hyperlink>
          <w:hyperlink w:anchor="_heading=h.3rdcrjn">
            <w:r>
              <w:rPr>
                <w:rFonts w:ascii="Arial" w:eastAsia="Arial" w:hAnsi="Arial" w:cs="Arial"/>
                <w:b/>
              </w:rPr>
              <w:t>1</w:t>
            </w:r>
          </w:hyperlink>
          <w:hyperlink w:anchor="_heading=h.3rdcrjn">
            <w:r>
              <w:rPr>
                <w:rFonts w:ascii="Arial" w:eastAsia="Arial" w:hAnsi="Arial" w:cs="Arial"/>
                <w:b/>
                <w:color w:val="000000"/>
              </w:rPr>
              <w:t>. De orden Constitucional</w:t>
            </w:r>
            <w:r>
              <w:rPr>
                <w:rFonts w:ascii="Arial" w:eastAsia="Arial" w:hAnsi="Arial" w:cs="Arial"/>
                <w:b/>
                <w:color w:val="000000"/>
              </w:rPr>
              <w:tab/>
            </w:r>
          </w:hyperlink>
          <w:r>
            <w:rPr>
              <w:rFonts w:ascii="Arial" w:eastAsia="Arial" w:hAnsi="Arial" w:cs="Arial"/>
              <w:b/>
            </w:rPr>
            <w:t>7</w:t>
          </w:r>
        </w:p>
        <w:p w14:paraId="594E1EB6" w14:textId="77777777" w:rsidR="00BA755D" w:rsidRDefault="00B64724">
          <w:pPr>
            <w:pStyle w:val="LO-normal"/>
            <w:tabs>
              <w:tab w:val="right" w:pos="9062"/>
            </w:tabs>
            <w:spacing w:after="100" w:line="259" w:lineRule="auto"/>
            <w:ind w:left="220"/>
            <w:rPr>
              <w:rFonts w:ascii="Arial" w:eastAsia="Arial" w:hAnsi="Arial" w:cs="Arial"/>
              <w:b/>
              <w:color w:val="000000"/>
            </w:rPr>
          </w:pPr>
          <w:r>
            <w:rPr>
              <w:rFonts w:ascii="Arial" w:eastAsia="Arial" w:hAnsi="Arial" w:cs="Arial"/>
              <w:b/>
              <w:color w:val="000000"/>
            </w:rPr>
            <w:t>4</w:t>
          </w:r>
          <w:hyperlink w:anchor="_heading=h.26in1rg">
            <w:r>
              <w:rPr>
                <w:rFonts w:ascii="Arial" w:eastAsia="Arial" w:hAnsi="Arial" w:cs="Arial"/>
                <w:b/>
                <w:color w:val="000000"/>
              </w:rPr>
              <w:t>.</w:t>
            </w:r>
          </w:hyperlink>
          <w:hyperlink w:anchor="_heading=h.26in1rg">
            <w:r>
              <w:rPr>
                <w:rFonts w:ascii="Arial" w:eastAsia="Arial" w:hAnsi="Arial" w:cs="Arial"/>
                <w:b/>
              </w:rPr>
              <w:t>2</w:t>
            </w:r>
          </w:hyperlink>
          <w:hyperlink w:anchor="_heading=h.26in1rg">
            <w:r>
              <w:rPr>
                <w:rFonts w:ascii="Arial" w:eastAsia="Arial" w:hAnsi="Arial" w:cs="Arial"/>
                <w:b/>
                <w:color w:val="000000"/>
              </w:rPr>
              <w:t>. De orden Legal</w:t>
            </w:r>
            <w:r>
              <w:rPr>
                <w:rFonts w:ascii="Arial" w:eastAsia="Arial" w:hAnsi="Arial" w:cs="Arial"/>
                <w:b/>
                <w:color w:val="000000"/>
              </w:rPr>
              <w:tab/>
            </w:r>
          </w:hyperlink>
          <w:r>
            <w:rPr>
              <w:rFonts w:ascii="Arial" w:eastAsia="Arial" w:hAnsi="Arial" w:cs="Arial"/>
              <w:b/>
            </w:rPr>
            <w:t>8</w:t>
          </w:r>
        </w:p>
        <w:p w14:paraId="24FD074F" w14:textId="77777777" w:rsidR="00BA755D" w:rsidRDefault="00B64724">
          <w:pPr>
            <w:pStyle w:val="LO-normal"/>
            <w:tabs>
              <w:tab w:val="right" w:pos="9062"/>
            </w:tabs>
            <w:spacing w:after="100" w:line="259" w:lineRule="auto"/>
            <w:ind w:left="220"/>
            <w:rPr>
              <w:rFonts w:ascii="Arial" w:eastAsia="Arial" w:hAnsi="Arial" w:cs="Arial"/>
              <w:b/>
              <w:color w:val="000000"/>
            </w:rPr>
          </w:pPr>
          <w:r>
            <w:rPr>
              <w:rFonts w:ascii="Arial" w:eastAsia="Arial" w:hAnsi="Arial" w:cs="Arial"/>
              <w:b/>
              <w:color w:val="000000"/>
            </w:rPr>
            <w:t>4</w:t>
          </w:r>
          <w:hyperlink w:anchor="_heading=h.lnxbz9">
            <w:r>
              <w:rPr>
                <w:rFonts w:ascii="Arial" w:eastAsia="Arial" w:hAnsi="Arial" w:cs="Arial"/>
                <w:b/>
                <w:color w:val="000000"/>
              </w:rPr>
              <w:t>.</w:t>
            </w:r>
          </w:hyperlink>
          <w:hyperlink w:anchor="_heading=h.lnxbz9">
            <w:r>
              <w:rPr>
                <w:rFonts w:ascii="Arial" w:eastAsia="Arial" w:hAnsi="Arial" w:cs="Arial"/>
                <w:b/>
              </w:rPr>
              <w:t>3</w:t>
            </w:r>
          </w:hyperlink>
          <w:hyperlink w:anchor="_heading=h.lnxbz9">
            <w:r>
              <w:rPr>
                <w:rFonts w:ascii="Arial" w:eastAsia="Arial" w:hAnsi="Arial" w:cs="Arial"/>
                <w:b/>
                <w:color w:val="000000"/>
              </w:rPr>
              <w:t>. De orden reglamentario</w:t>
            </w:r>
          </w:hyperlink>
          <w:hyperlink w:anchor="_heading=h.35nkun2">
            <w:r>
              <w:rPr>
                <w:rFonts w:ascii="Arial" w:eastAsia="Arial" w:hAnsi="Arial" w:cs="Arial"/>
                <w:b/>
                <w:color w:val="000000"/>
              </w:rPr>
              <w:tab/>
            </w:r>
          </w:hyperlink>
          <w:r>
            <w:rPr>
              <w:rFonts w:ascii="Arial" w:eastAsia="Arial" w:hAnsi="Arial" w:cs="Arial"/>
              <w:b/>
            </w:rPr>
            <w:t>8</w:t>
          </w:r>
        </w:p>
        <w:p w14:paraId="1A0E175A" w14:textId="77777777" w:rsidR="00BA755D" w:rsidRDefault="00B64724">
          <w:pPr>
            <w:pStyle w:val="LO-normal"/>
            <w:tabs>
              <w:tab w:val="right" w:pos="9062"/>
            </w:tabs>
            <w:spacing w:after="100" w:line="259" w:lineRule="auto"/>
            <w:rPr>
              <w:rFonts w:ascii="Arial" w:eastAsia="Arial" w:hAnsi="Arial" w:cs="Arial"/>
              <w:b/>
              <w:color w:val="000000"/>
            </w:rPr>
          </w:pPr>
          <w:r>
            <w:rPr>
              <w:rFonts w:ascii="Arial" w:eastAsia="Arial" w:hAnsi="Arial" w:cs="Arial"/>
              <w:b/>
              <w:color w:val="000000"/>
            </w:rPr>
            <w:t xml:space="preserve">5. </w:t>
          </w:r>
          <w:hyperlink w:anchor="_heading=h.1t3h5sf">
            <w:r>
              <w:rPr>
                <w:rFonts w:ascii="Arial" w:eastAsia="Arial" w:hAnsi="Arial" w:cs="Arial"/>
                <w:b/>
                <w:color w:val="000000"/>
              </w:rPr>
              <w:t>COMPETENCIA DEL CONCEJO DE BOGOTÁ</w:t>
            </w:r>
            <w:r>
              <w:rPr>
                <w:rFonts w:ascii="Arial" w:eastAsia="Arial" w:hAnsi="Arial" w:cs="Arial"/>
                <w:b/>
                <w:color w:val="000000"/>
              </w:rPr>
              <w:tab/>
            </w:r>
          </w:hyperlink>
          <w:r>
            <w:rPr>
              <w:rFonts w:ascii="Arial" w:eastAsia="Arial" w:hAnsi="Arial" w:cs="Arial"/>
              <w:b/>
            </w:rPr>
            <w:t>12</w:t>
          </w:r>
        </w:p>
        <w:p w14:paraId="29A28D45" w14:textId="77777777" w:rsidR="00BA755D" w:rsidRDefault="00B64724">
          <w:pPr>
            <w:pStyle w:val="LO-normal"/>
            <w:tabs>
              <w:tab w:val="right" w:pos="9062"/>
            </w:tabs>
            <w:spacing w:after="100"/>
            <w:rPr>
              <w:rFonts w:ascii="Arial" w:eastAsia="Arial" w:hAnsi="Arial" w:cs="Arial"/>
              <w:b/>
              <w:color w:val="000000"/>
            </w:rPr>
          </w:pPr>
          <w:r>
            <w:rPr>
              <w:rFonts w:ascii="Arial" w:eastAsia="Arial" w:hAnsi="Arial" w:cs="Arial"/>
              <w:b/>
              <w:color w:val="000000"/>
            </w:rPr>
            <w:t xml:space="preserve">6. </w:t>
          </w:r>
          <w:hyperlink w:anchor="_heading=h.4d34og8">
            <w:r>
              <w:rPr>
                <w:rFonts w:ascii="Arial" w:eastAsia="Arial" w:hAnsi="Arial" w:cs="Arial"/>
                <w:b/>
                <w:color w:val="000000"/>
              </w:rPr>
              <w:t xml:space="preserve"> IMPACTO FISCAL</w:t>
            </w:r>
            <w:r>
              <w:rPr>
                <w:rFonts w:ascii="Arial" w:eastAsia="Arial" w:hAnsi="Arial" w:cs="Arial"/>
                <w:b/>
                <w:color w:val="000000"/>
              </w:rPr>
              <w:tab/>
            </w:r>
          </w:hyperlink>
          <w:r>
            <w:rPr>
              <w:rFonts w:ascii="Arial" w:eastAsia="Arial" w:hAnsi="Arial" w:cs="Arial"/>
              <w:b/>
            </w:rPr>
            <w:t>12</w:t>
          </w:r>
        </w:p>
        <w:p w14:paraId="5C126509" w14:textId="77777777" w:rsidR="00BA755D" w:rsidRDefault="00B64724">
          <w:pPr>
            <w:pStyle w:val="LO-normal"/>
            <w:tabs>
              <w:tab w:val="right" w:pos="9062"/>
            </w:tabs>
            <w:spacing w:after="100"/>
            <w:rPr>
              <w:rFonts w:ascii="Arial" w:eastAsia="Arial" w:hAnsi="Arial" w:cs="Arial"/>
              <w:b/>
              <w:color w:val="000000"/>
            </w:rPr>
          </w:pPr>
          <w:r>
            <w:rPr>
              <w:rFonts w:ascii="Arial" w:eastAsia="Arial" w:hAnsi="Arial" w:cs="Arial"/>
              <w:b/>
              <w:color w:val="000000"/>
            </w:rPr>
            <w:t xml:space="preserve">7. </w:t>
          </w:r>
          <w:hyperlink w:anchor="_heading=h.2s8eyo1">
            <w:r>
              <w:rPr>
                <w:rFonts w:ascii="Arial" w:eastAsia="Arial" w:hAnsi="Arial" w:cs="Arial"/>
                <w:b/>
                <w:color w:val="000000"/>
              </w:rPr>
              <w:t>COMENTARIOS Y OBSERVACIONES DE LOS PONENTES</w:t>
            </w:r>
            <w:r>
              <w:rPr>
                <w:rFonts w:ascii="Arial" w:eastAsia="Arial" w:hAnsi="Arial" w:cs="Arial"/>
                <w:b/>
                <w:color w:val="000000"/>
              </w:rPr>
              <w:tab/>
            </w:r>
          </w:hyperlink>
          <w:r>
            <w:rPr>
              <w:rFonts w:ascii="Arial" w:eastAsia="Arial" w:hAnsi="Arial" w:cs="Arial"/>
              <w:b/>
            </w:rPr>
            <w:t>13</w:t>
          </w:r>
        </w:p>
        <w:p w14:paraId="48BAE35C" w14:textId="77777777" w:rsidR="00BA755D" w:rsidRDefault="00B64724">
          <w:pPr>
            <w:pStyle w:val="LO-normal"/>
            <w:tabs>
              <w:tab w:val="right" w:pos="9062"/>
            </w:tabs>
            <w:spacing w:after="100"/>
            <w:rPr>
              <w:rFonts w:ascii="Arial" w:eastAsia="Arial" w:hAnsi="Arial" w:cs="Arial"/>
              <w:b/>
              <w:color w:val="000000"/>
            </w:rPr>
          </w:pPr>
          <w:r>
            <w:rPr>
              <w:rFonts w:ascii="Arial" w:eastAsia="Arial" w:hAnsi="Arial" w:cs="Arial"/>
              <w:b/>
              <w:color w:val="000000"/>
            </w:rPr>
            <w:t>8. PLIEGO MO</w:t>
          </w:r>
          <w:r>
            <w:rPr>
              <w:rFonts w:ascii="Arial" w:eastAsia="Arial" w:hAnsi="Arial" w:cs="Arial"/>
              <w:b/>
            </w:rPr>
            <w:t>DIFICATORIO</w:t>
          </w:r>
          <w:r>
            <w:rPr>
              <w:rFonts w:ascii="Arial" w:eastAsia="Arial" w:hAnsi="Arial" w:cs="Arial"/>
              <w:b/>
            </w:rPr>
            <w:tab/>
            <w:t>14</w:t>
          </w:r>
        </w:p>
        <w:p w14:paraId="44B11923" w14:textId="77777777" w:rsidR="00BA755D" w:rsidRDefault="00B64724">
          <w:pPr>
            <w:pStyle w:val="LO-normal"/>
            <w:tabs>
              <w:tab w:val="right" w:pos="9062"/>
            </w:tabs>
            <w:spacing w:after="100"/>
            <w:rPr>
              <w:rFonts w:ascii="Arial" w:eastAsia="Arial" w:hAnsi="Arial" w:cs="Arial"/>
              <w:b/>
              <w:color w:val="000000"/>
            </w:rPr>
          </w:pPr>
          <w:r>
            <w:rPr>
              <w:rFonts w:ascii="Arial" w:eastAsia="Arial" w:hAnsi="Arial" w:cs="Arial"/>
              <w:b/>
              <w:color w:val="000000"/>
            </w:rPr>
            <w:t xml:space="preserve">9. </w:t>
          </w:r>
          <w:hyperlink w:anchor="_heading=h.gjdgxs">
            <w:r>
              <w:rPr>
                <w:rFonts w:ascii="Arial" w:eastAsia="Arial" w:hAnsi="Arial" w:cs="Arial"/>
                <w:b/>
                <w:color w:val="000000"/>
              </w:rPr>
              <w:t>CONCLUSIÓN</w:t>
            </w:r>
            <w:r>
              <w:rPr>
                <w:rFonts w:ascii="Arial" w:eastAsia="Arial" w:hAnsi="Arial" w:cs="Arial"/>
                <w:b/>
                <w:color w:val="000000"/>
              </w:rPr>
              <w:tab/>
              <w:t>1</w:t>
            </w:r>
          </w:hyperlink>
          <w:r>
            <w:rPr>
              <w:rFonts w:ascii="Arial" w:eastAsia="Arial" w:hAnsi="Arial" w:cs="Arial"/>
              <w:b/>
            </w:rPr>
            <w:t>6</w:t>
          </w:r>
        </w:p>
        <w:p w14:paraId="591E2FF3" w14:textId="77777777" w:rsidR="00BA755D" w:rsidRDefault="00B64724">
          <w:pPr>
            <w:pStyle w:val="LO-normal"/>
            <w:tabs>
              <w:tab w:val="right" w:pos="9062"/>
            </w:tabs>
            <w:spacing w:after="100"/>
            <w:ind w:left="1200"/>
            <w:rPr>
              <w:rFonts w:ascii="Arial" w:eastAsia="Arial" w:hAnsi="Arial" w:cs="Arial"/>
              <w:b/>
              <w:color w:val="000000"/>
            </w:rPr>
          </w:pPr>
          <w:r>
            <w:fldChar w:fldCharType="end"/>
          </w:r>
        </w:p>
      </w:sdtContent>
    </w:sdt>
    <w:p w14:paraId="76226E1E" w14:textId="77777777" w:rsidR="00BA755D" w:rsidRDefault="00BA755D">
      <w:pPr>
        <w:pStyle w:val="LO-normal"/>
        <w:shd w:val="clear" w:color="auto" w:fill="FFFFFF"/>
        <w:jc w:val="center"/>
        <w:rPr>
          <w:rFonts w:ascii="Arial" w:eastAsia="Arial" w:hAnsi="Arial" w:cs="Arial"/>
          <w:b/>
        </w:rPr>
      </w:pPr>
    </w:p>
    <w:p w14:paraId="21E763DF" w14:textId="77777777" w:rsidR="00BA755D" w:rsidRDefault="00BA755D">
      <w:pPr>
        <w:pStyle w:val="LO-normal"/>
        <w:shd w:val="clear" w:color="auto" w:fill="FFFFFF"/>
        <w:jc w:val="center"/>
        <w:rPr>
          <w:rFonts w:ascii="Arial" w:eastAsia="Arial" w:hAnsi="Arial" w:cs="Arial"/>
          <w:b/>
        </w:rPr>
      </w:pPr>
    </w:p>
    <w:p w14:paraId="44EF15F0" w14:textId="77777777" w:rsidR="00BA755D" w:rsidRDefault="00BA755D">
      <w:pPr>
        <w:pStyle w:val="LO-normal"/>
        <w:shd w:val="clear" w:color="auto" w:fill="FFFFFF"/>
        <w:jc w:val="center"/>
        <w:rPr>
          <w:rFonts w:ascii="Arial" w:eastAsia="Arial" w:hAnsi="Arial" w:cs="Arial"/>
          <w:b/>
        </w:rPr>
      </w:pPr>
    </w:p>
    <w:p w14:paraId="23296D4F" w14:textId="77777777" w:rsidR="00BA755D" w:rsidRDefault="00BA755D">
      <w:pPr>
        <w:pStyle w:val="LO-normal"/>
        <w:shd w:val="clear" w:color="auto" w:fill="FFFFFF"/>
        <w:jc w:val="center"/>
        <w:rPr>
          <w:rFonts w:ascii="Arial" w:eastAsia="Arial" w:hAnsi="Arial" w:cs="Arial"/>
          <w:b/>
        </w:rPr>
      </w:pPr>
    </w:p>
    <w:p w14:paraId="0753305E" w14:textId="77777777" w:rsidR="00BA755D" w:rsidRDefault="00BA755D">
      <w:pPr>
        <w:pStyle w:val="LO-normal"/>
        <w:shd w:val="clear" w:color="auto" w:fill="FFFFFF"/>
        <w:jc w:val="center"/>
        <w:rPr>
          <w:rFonts w:ascii="Arial" w:eastAsia="Arial" w:hAnsi="Arial" w:cs="Arial"/>
          <w:b/>
        </w:rPr>
      </w:pPr>
    </w:p>
    <w:p w14:paraId="1D733043" w14:textId="77777777" w:rsidR="00BA755D" w:rsidRDefault="00BA755D">
      <w:pPr>
        <w:pStyle w:val="LO-normal"/>
        <w:shd w:val="clear" w:color="auto" w:fill="FFFFFF"/>
        <w:jc w:val="center"/>
        <w:rPr>
          <w:rFonts w:ascii="Arial" w:eastAsia="Arial" w:hAnsi="Arial" w:cs="Arial"/>
          <w:b/>
        </w:rPr>
      </w:pPr>
    </w:p>
    <w:p w14:paraId="670F30F6" w14:textId="77777777" w:rsidR="00BA755D" w:rsidRDefault="00BA755D">
      <w:pPr>
        <w:pStyle w:val="LO-normal"/>
        <w:shd w:val="clear" w:color="auto" w:fill="FFFFFF"/>
        <w:jc w:val="center"/>
        <w:rPr>
          <w:rFonts w:ascii="Arial" w:eastAsia="Arial" w:hAnsi="Arial" w:cs="Arial"/>
          <w:b/>
        </w:rPr>
      </w:pPr>
    </w:p>
    <w:p w14:paraId="4CD6372A" w14:textId="77777777" w:rsidR="00BA755D" w:rsidRDefault="00BA755D">
      <w:pPr>
        <w:pStyle w:val="LO-normal"/>
        <w:shd w:val="clear" w:color="auto" w:fill="FFFFFF"/>
        <w:jc w:val="center"/>
        <w:rPr>
          <w:rFonts w:ascii="Arial" w:eastAsia="Arial" w:hAnsi="Arial" w:cs="Arial"/>
          <w:b/>
        </w:rPr>
      </w:pPr>
    </w:p>
    <w:p w14:paraId="510F3261" w14:textId="77777777" w:rsidR="00BA755D" w:rsidRDefault="00BA755D">
      <w:pPr>
        <w:pStyle w:val="LO-normal"/>
        <w:shd w:val="clear" w:color="auto" w:fill="FFFFFF"/>
        <w:jc w:val="center"/>
        <w:rPr>
          <w:rFonts w:ascii="Arial" w:eastAsia="Arial" w:hAnsi="Arial" w:cs="Arial"/>
          <w:b/>
        </w:rPr>
      </w:pPr>
    </w:p>
    <w:p w14:paraId="4F0C9133" w14:textId="77777777" w:rsidR="00BA755D" w:rsidRDefault="00BA755D">
      <w:pPr>
        <w:pStyle w:val="LO-normal"/>
        <w:shd w:val="clear" w:color="auto" w:fill="FFFFFF"/>
        <w:jc w:val="center"/>
        <w:rPr>
          <w:rFonts w:ascii="Arial" w:eastAsia="Arial" w:hAnsi="Arial" w:cs="Arial"/>
          <w:b/>
        </w:rPr>
      </w:pPr>
    </w:p>
    <w:p w14:paraId="302B22D3" w14:textId="77777777" w:rsidR="00BA755D" w:rsidRDefault="00BA755D">
      <w:pPr>
        <w:pStyle w:val="LO-normal"/>
        <w:shd w:val="clear" w:color="auto" w:fill="FFFFFF"/>
        <w:jc w:val="center"/>
        <w:rPr>
          <w:rFonts w:ascii="Arial" w:eastAsia="Arial" w:hAnsi="Arial" w:cs="Arial"/>
          <w:b/>
        </w:rPr>
      </w:pPr>
    </w:p>
    <w:p w14:paraId="01E3D591" w14:textId="77777777" w:rsidR="00BA755D" w:rsidRDefault="00BA755D">
      <w:pPr>
        <w:pStyle w:val="LO-normal"/>
        <w:shd w:val="clear" w:color="auto" w:fill="FFFFFF"/>
        <w:jc w:val="center"/>
        <w:rPr>
          <w:rFonts w:ascii="Arial" w:eastAsia="Arial" w:hAnsi="Arial" w:cs="Arial"/>
          <w:b/>
        </w:rPr>
      </w:pPr>
    </w:p>
    <w:p w14:paraId="1C84D825" w14:textId="77777777" w:rsidR="00BA755D" w:rsidRDefault="00BA755D">
      <w:pPr>
        <w:pStyle w:val="LO-normal"/>
        <w:shd w:val="clear" w:color="auto" w:fill="FFFFFF"/>
        <w:jc w:val="center"/>
        <w:rPr>
          <w:rFonts w:ascii="Arial" w:eastAsia="Arial" w:hAnsi="Arial" w:cs="Arial"/>
          <w:b/>
        </w:rPr>
      </w:pPr>
    </w:p>
    <w:p w14:paraId="2F64CD53" w14:textId="77777777" w:rsidR="00BA755D" w:rsidRDefault="00BA755D">
      <w:pPr>
        <w:pStyle w:val="LO-normal"/>
        <w:shd w:val="clear" w:color="auto" w:fill="FFFFFF"/>
        <w:jc w:val="center"/>
        <w:rPr>
          <w:rFonts w:ascii="Arial" w:eastAsia="Arial" w:hAnsi="Arial" w:cs="Arial"/>
          <w:b/>
        </w:rPr>
      </w:pPr>
    </w:p>
    <w:p w14:paraId="4925B761" w14:textId="77777777" w:rsidR="00BA755D" w:rsidRDefault="00BA755D">
      <w:pPr>
        <w:pStyle w:val="LO-normal"/>
        <w:shd w:val="clear" w:color="auto" w:fill="FFFFFF"/>
        <w:spacing w:line="276" w:lineRule="auto"/>
        <w:jc w:val="center"/>
        <w:rPr>
          <w:rFonts w:ascii="Arial" w:eastAsia="Arial" w:hAnsi="Arial" w:cs="Arial"/>
          <w:b/>
        </w:rPr>
      </w:pPr>
    </w:p>
    <w:p w14:paraId="46F8CFFE" w14:textId="77777777" w:rsidR="00BA755D" w:rsidRDefault="00BA755D">
      <w:pPr>
        <w:pStyle w:val="LO-normal"/>
        <w:shd w:val="clear" w:color="auto" w:fill="FFFFFF"/>
        <w:spacing w:line="276" w:lineRule="auto"/>
        <w:jc w:val="center"/>
        <w:rPr>
          <w:rFonts w:ascii="Arial" w:eastAsia="Arial" w:hAnsi="Arial" w:cs="Arial"/>
          <w:b/>
        </w:rPr>
      </w:pPr>
    </w:p>
    <w:p w14:paraId="52500F40" w14:textId="77777777" w:rsidR="00BA755D" w:rsidRDefault="00BA755D">
      <w:pPr>
        <w:pStyle w:val="LO-normal"/>
        <w:shd w:val="clear" w:color="auto" w:fill="FFFFFF"/>
        <w:spacing w:line="276" w:lineRule="auto"/>
        <w:jc w:val="center"/>
        <w:rPr>
          <w:rFonts w:ascii="Arial" w:eastAsia="Arial" w:hAnsi="Arial" w:cs="Arial"/>
          <w:b/>
        </w:rPr>
      </w:pPr>
    </w:p>
    <w:p w14:paraId="6465EB21" w14:textId="77777777" w:rsidR="00BA755D" w:rsidRDefault="00B64724">
      <w:pPr>
        <w:pStyle w:val="LO-normal"/>
        <w:shd w:val="clear" w:color="auto" w:fill="FFFFFF"/>
        <w:spacing w:line="276" w:lineRule="auto"/>
        <w:jc w:val="center"/>
        <w:rPr>
          <w:rFonts w:ascii="Arial" w:eastAsia="Arial" w:hAnsi="Arial" w:cs="Arial"/>
          <w:b/>
        </w:rPr>
      </w:pPr>
      <w:r>
        <w:rPr>
          <w:rFonts w:ascii="Arial" w:eastAsia="Arial" w:hAnsi="Arial" w:cs="Arial"/>
          <w:b/>
        </w:rPr>
        <w:lastRenderedPageBreak/>
        <w:t>PRIMER DEBATE</w:t>
      </w:r>
    </w:p>
    <w:p w14:paraId="34FA4BDF" w14:textId="77777777" w:rsidR="00BA755D" w:rsidRDefault="00BA755D">
      <w:pPr>
        <w:pStyle w:val="LO-normal"/>
        <w:shd w:val="clear" w:color="auto" w:fill="FFFFFF"/>
        <w:spacing w:line="276" w:lineRule="auto"/>
        <w:jc w:val="center"/>
        <w:rPr>
          <w:rFonts w:ascii="Arial" w:eastAsia="Arial" w:hAnsi="Arial" w:cs="Arial"/>
          <w:b/>
        </w:rPr>
      </w:pPr>
    </w:p>
    <w:p w14:paraId="013D7FA9" w14:textId="77777777" w:rsidR="00BA755D" w:rsidRDefault="00B64724">
      <w:pPr>
        <w:pStyle w:val="LO-normal"/>
        <w:shd w:val="clear" w:color="auto" w:fill="FFFFFF"/>
        <w:jc w:val="center"/>
        <w:rPr>
          <w:rFonts w:ascii="Arial" w:eastAsia="Arial" w:hAnsi="Arial" w:cs="Arial"/>
          <w:b/>
        </w:rPr>
      </w:pPr>
      <w:bookmarkStart w:id="1" w:name="_heading=h.30j0zll" w:colFirst="0" w:colLast="0"/>
      <w:bookmarkEnd w:id="1"/>
      <w:r>
        <w:rPr>
          <w:rFonts w:ascii="Arial" w:eastAsia="Arial" w:hAnsi="Arial" w:cs="Arial"/>
          <w:b/>
        </w:rPr>
        <w:t>PROYECTO DE ACUERDO No. 184 de 2025</w:t>
      </w:r>
    </w:p>
    <w:p w14:paraId="2F571B1C" w14:textId="77777777" w:rsidR="00BA755D" w:rsidRDefault="00BA755D">
      <w:pPr>
        <w:pStyle w:val="LO-normal"/>
        <w:shd w:val="clear" w:color="auto" w:fill="FFFFFF"/>
        <w:jc w:val="center"/>
        <w:rPr>
          <w:rFonts w:ascii="Arial" w:eastAsia="Arial" w:hAnsi="Arial" w:cs="Arial"/>
          <w:b/>
        </w:rPr>
      </w:pPr>
    </w:p>
    <w:p w14:paraId="3BB7DB2A" w14:textId="77777777" w:rsidR="00BA755D" w:rsidRDefault="00B64724">
      <w:pPr>
        <w:pStyle w:val="LO-normal"/>
        <w:jc w:val="center"/>
        <w:rPr>
          <w:rFonts w:ascii="Arial" w:eastAsia="Arial" w:hAnsi="Arial" w:cs="Arial"/>
          <w:b/>
          <w:sz w:val="22"/>
          <w:szCs w:val="22"/>
        </w:rPr>
      </w:pPr>
      <w:r>
        <w:rPr>
          <w:rFonts w:ascii="Arial" w:eastAsia="Arial" w:hAnsi="Arial" w:cs="Arial"/>
          <w:b/>
          <w:sz w:val="22"/>
          <w:szCs w:val="22"/>
        </w:rPr>
        <w:t>“</w:t>
      </w:r>
      <w:r>
        <w:rPr>
          <w:rFonts w:ascii="Arial" w:eastAsia="Arial" w:hAnsi="Arial" w:cs="Arial"/>
          <w:b/>
          <w:i/>
          <w:sz w:val="22"/>
          <w:szCs w:val="22"/>
        </w:rPr>
        <w:t>Por el cual se dictan lineamientos para orientar y fortalecer las condiciones mínimas de revisión de los sistemas de protección contra incendios estructurales en Bogotá   D.C.”</w:t>
      </w:r>
    </w:p>
    <w:p w14:paraId="175F9F02" w14:textId="77777777" w:rsidR="00BA755D" w:rsidRDefault="00BA755D">
      <w:pPr>
        <w:pStyle w:val="LO-normal"/>
        <w:jc w:val="center"/>
        <w:rPr>
          <w:rFonts w:ascii="Arial" w:eastAsia="Arial" w:hAnsi="Arial" w:cs="Arial"/>
          <w:b/>
        </w:rPr>
      </w:pPr>
    </w:p>
    <w:p w14:paraId="4A63C91F" w14:textId="77777777" w:rsidR="00BA755D" w:rsidRDefault="00B64724">
      <w:pPr>
        <w:pStyle w:val="Ttulo1"/>
        <w:spacing w:line="276" w:lineRule="auto"/>
        <w:jc w:val="left"/>
        <w:rPr>
          <w:rFonts w:ascii="Arial" w:eastAsia="Arial" w:hAnsi="Arial" w:cs="Arial"/>
          <w:b/>
        </w:rPr>
      </w:pPr>
      <w:r>
        <w:rPr>
          <w:rFonts w:ascii="Arial" w:eastAsia="Arial" w:hAnsi="Arial" w:cs="Arial"/>
          <w:b/>
        </w:rPr>
        <w:t>1. OBJETO DEL PROYECTO DE ACUERDO</w:t>
      </w:r>
    </w:p>
    <w:p w14:paraId="71278958" w14:textId="77777777" w:rsidR="00BA755D" w:rsidRDefault="00BA755D">
      <w:pPr>
        <w:pStyle w:val="LO-normal"/>
        <w:shd w:val="clear" w:color="auto" w:fill="FFFFFF"/>
        <w:spacing w:line="276" w:lineRule="auto"/>
        <w:ind w:left="1080"/>
        <w:jc w:val="both"/>
        <w:rPr>
          <w:rFonts w:ascii="Arial" w:eastAsia="Arial" w:hAnsi="Arial" w:cs="Arial"/>
        </w:rPr>
      </w:pPr>
    </w:p>
    <w:p w14:paraId="14CCE211" w14:textId="77777777" w:rsidR="00BA755D" w:rsidRDefault="00B64724">
      <w:pPr>
        <w:pStyle w:val="LO-normal"/>
        <w:shd w:val="clear" w:color="auto" w:fill="FFFFFF"/>
        <w:spacing w:line="276" w:lineRule="auto"/>
        <w:jc w:val="both"/>
        <w:rPr>
          <w:rFonts w:ascii="Arial" w:eastAsia="Arial" w:hAnsi="Arial" w:cs="Arial"/>
        </w:rPr>
      </w:pPr>
      <w:bookmarkStart w:id="2" w:name="_heading=h.1fob9te" w:colFirst="0" w:colLast="0"/>
      <w:bookmarkEnd w:id="2"/>
      <w:r>
        <w:rPr>
          <w:rFonts w:ascii="Arial" w:eastAsia="Arial" w:hAnsi="Arial" w:cs="Arial"/>
        </w:rPr>
        <w:t>El Proyecto de Acuerdo de iniciativa del HC Rolando Alberto González García, plantea por objeto “establecer los lineamientos para orientar y fortalecer las condiciones mínimas de revisión de los sistemas de protección contra incendios y mejorar las condiciones de seguridad humana en cuanto a riesgos de incendios estructurales y materiales peligrosos que se presentan en las edificaciones y establecimientos de comercio del Distrito Capital”.</w:t>
      </w:r>
    </w:p>
    <w:p w14:paraId="13096BA3" w14:textId="77777777" w:rsidR="00BA755D" w:rsidRDefault="00BA755D">
      <w:pPr>
        <w:pStyle w:val="LO-normal"/>
        <w:shd w:val="clear" w:color="auto" w:fill="FFFFFF"/>
        <w:spacing w:line="276" w:lineRule="auto"/>
        <w:jc w:val="both"/>
      </w:pPr>
    </w:p>
    <w:p w14:paraId="6B730E4D" w14:textId="77777777" w:rsidR="00BA755D" w:rsidRDefault="00B64724">
      <w:pPr>
        <w:pStyle w:val="LO-normal"/>
        <w:shd w:val="clear" w:color="auto" w:fill="FFFFFF"/>
        <w:spacing w:line="276" w:lineRule="auto"/>
        <w:rPr>
          <w:rFonts w:ascii="Arial" w:eastAsia="Arial" w:hAnsi="Arial" w:cs="Arial"/>
          <w:b/>
        </w:rPr>
      </w:pPr>
      <w:r>
        <w:rPr>
          <w:rFonts w:ascii="Arial" w:eastAsia="Arial" w:hAnsi="Arial" w:cs="Arial"/>
          <w:b/>
        </w:rPr>
        <w:t>2. ANTECEDENTES DE LA INICIATIVA</w:t>
      </w:r>
    </w:p>
    <w:p w14:paraId="37F881C1" w14:textId="77777777" w:rsidR="00BA755D" w:rsidRDefault="00BA755D">
      <w:pPr>
        <w:pStyle w:val="LO-normal"/>
        <w:shd w:val="clear" w:color="auto" w:fill="FFFFFF"/>
        <w:spacing w:line="276" w:lineRule="auto"/>
        <w:jc w:val="both"/>
        <w:rPr>
          <w:rFonts w:ascii="Arial" w:eastAsia="Arial" w:hAnsi="Arial" w:cs="Arial"/>
        </w:rPr>
      </w:pPr>
    </w:p>
    <w:p w14:paraId="5396A49A"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El proyecto de acuerdo cuenta con los antecedentes número 393 y 436 de 2021 con ponencia positiva conjunta de los Hs Cs Manuel Sarmiento y Armando Gutiérrez González. En el año 2022, con los radicados 073, 149, 294, 467, cuyos ponentes fueron los honorables concejales Samir José Abisambra Vesga y Diego Guillermo Laserna Arias. </w:t>
      </w:r>
    </w:p>
    <w:p w14:paraId="55357977"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7F81BC0B"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En la vigencia 2023 el Proyecto de Acuerdo fue radicado en cuatro oportunidades con los números 156, 233, 522 y 650 (ponentes: H.C. Javier Alejandro Ospina Rodríguez y H.C. Celio Nieves Herrera.</w:t>
      </w:r>
    </w:p>
    <w:p w14:paraId="2F17EED4"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4432062B" w14:textId="77777777" w:rsidR="00BA755D" w:rsidRDefault="00B64724">
      <w:pPr>
        <w:pStyle w:val="LO-normal"/>
        <w:pBdr>
          <w:top w:val="nil"/>
          <w:left w:val="nil"/>
          <w:bottom w:val="nil"/>
          <w:right w:val="nil"/>
          <w:between w:val="nil"/>
        </w:pBdr>
        <w:shd w:val="clear" w:color="auto" w:fill="FFFFFF"/>
        <w:spacing w:line="276" w:lineRule="auto"/>
        <w:jc w:val="both"/>
        <w:rPr>
          <w:rFonts w:eastAsia="Times New Roman" w:cs="Times New Roman"/>
          <w:color w:val="000000"/>
        </w:rPr>
      </w:pPr>
      <w:r>
        <w:rPr>
          <w:rFonts w:ascii="Arial" w:eastAsia="Arial" w:hAnsi="Arial" w:cs="Arial"/>
          <w:color w:val="000000"/>
        </w:rPr>
        <w:t>Posteriormente en el año 2024, también se presentó contando con las ponencias positivas de los Hs.Cs. Julián David Rodríguez Sastoque y Cristina Calderón Restrepo. Radicados: 028, 256, 546 y 713.</w:t>
      </w:r>
    </w:p>
    <w:p w14:paraId="4E238094" w14:textId="77777777" w:rsidR="00BA755D" w:rsidRDefault="00BA755D">
      <w:pPr>
        <w:pStyle w:val="LO-normal"/>
        <w:shd w:val="clear" w:color="auto" w:fill="FFFFFF"/>
        <w:spacing w:line="276" w:lineRule="auto"/>
        <w:jc w:val="both"/>
        <w:rPr>
          <w:rFonts w:ascii="Arial" w:eastAsia="Arial" w:hAnsi="Arial" w:cs="Arial"/>
          <w:b/>
          <w:i/>
        </w:rPr>
      </w:pPr>
    </w:p>
    <w:p w14:paraId="43088941" w14:textId="77777777" w:rsidR="00BA755D" w:rsidRDefault="00B64724">
      <w:pPr>
        <w:pStyle w:val="Ttulo1"/>
        <w:spacing w:line="276" w:lineRule="auto"/>
        <w:jc w:val="left"/>
        <w:rPr>
          <w:rFonts w:ascii="Arial" w:eastAsia="Arial" w:hAnsi="Arial" w:cs="Arial"/>
          <w:b/>
        </w:rPr>
      </w:pPr>
      <w:bookmarkStart w:id="3" w:name="_heading=h.3znysh7" w:colFirst="0" w:colLast="0"/>
      <w:bookmarkEnd w:id="3"/>
      <w:r>
        <w:rPr>
          <w:rFonts w:ascii="Arial" w:eastAsia="Arial" w:hAnsi="Arial" w:cs="Arial"/>
          <w:b/>
        </w:rPr>
        <w:t>3. JUSTIFICACIÓN DE LA INICIATIVA POR PARTE DEL AUTOR</w:t>
      </w:r>
    </w:p>
    <w:p w14:paraId="39865423" w14:textId="77777777" w:rsidR="00BA755D" w:rsidRDefault="00BA755D">
      <w:pPr>
        <w:pStyle w:val="LO-normal"/>
        <w:shd w:val="clear" w:color="auto" w:fill="FFFFFF"/>
        <w:spacing w:line="276" w:lineRule="auto"/>
        <w:ind w:left="1080"/>
        <w:jc w:val="both"/>
        <w:rPr>
          <w:rFonts w:ascii="Arial" w:eastAsia="Arial" w:hAnsi="Arial" w:cs="Arial"/>
          <w:b/>
        </w:rPr>
      </w:pPr>
    </w:p>
    <w:p w14:paraId="71568E2A" w14:textId="77777777" w:rsidR="00BA755D" w:rsidRDefault="00B64724">
      <w:pPr>
        <w:pStyle w:val="LO-normal"/>
        <w:jc w:val="both"/>
        <w:rPr>
          <w:rFonts w:ascii="Arial" w:eastAsia="Arial" w:hAnsi="Arial" w:cs="Arial"/>
        </w:rPr>
      </w:pPr>
      <w:bookmarkStart w:id="4" w:name="_heading=h.2et92p0" w:colFirst="0" w:colLast="0"/>
      <w:bookmarkEnd w:id="4"/>
      <w:r>
        <w:rPr>
          <w:rFonts w:ascii="Arial" w:eastAsia="Arial" w:hAnsi="Arial" w:cs="Arial"/>
        </w:rPr>
        <w:t xml:space="preserve">En el Proyecto de Acuerdo el autor destaca  prevención en como objetivo de la seguridad humana y </w:t>
      </w:r>
      <w:r>
        <w:rPr>
          <w:rFonts w:ascii="Arial" w:eastAsia="Arial" w:hAnsi="Arial" w:cs="Arial"/>
          <w:i/>
        </w:rPr>
        <w:t xml:space="preserve">busca mediante una serie de acciones, proteger la vida e integridad de las personas de los riesgos asociados por incendios y demás tipo de daños que pueden originarse al interior de un establecimiento de comercio o una edificación en la ciudad. </w:t>
      </w:r>
      <w:r>
        <w:rPr>
          <w:rFonts w:ascii="Arial" w:eastAsia="Arial" w:hAnsi="Arial" w:cs="Arial"/>
        </w:rPr>
        <w:t>El autor enfatiza que en materia de seguridad humana continúan los riesgos por la presencia de incendios y la presencia de materiales peligrosos que pueden provocar dichas conflagraciones.</w:t>
      </w:r>
    </w:p>
    <w:p w14:paraId="2098DE17" w14:textId="77777777" w:rsidR="00BA755D" w:rsidRDefault="00BA755D">
      <w:pPr>
        <w:pStyle w:val="LO-normal"/>
        <w:jc w:val="both"/>
        <w:rPr>
          <w:rFonts w:ascii="Arial" w:eastAsia="Arial" w:hAnsi="Arial" w:cs="Arial"/>
        </w:rPr>
      </w:pPr>
    </w:p>
    <w:p w14:paraId="238CE383" w14:textId="77777777" w:rsidR="00BA755D" w:rsidRDefault="00B64724">
      <w:pPr>
        <w:pStyle w:val="LO-normal"/>
        <w:jc w:val="both"/>
        <w:rPr>
          <w:rFonts w:ascii="Arial" w:eastAsia="Arial" w:hAnsi="Arial" w:cs="Arial"/>
        </w:rPr>
      </w:pPr>
      <w:r>
        <w:rPr>
          <w:rFonts w:ascii="Arial" w:eastAsia="Arial" w:hAnsi="Arial" w:cs="Arial"/>
        </w:rPr>
        <w:t xml:space="preserve">Predominan como las principales casas de los incendios se encuentran los accidentes domésticos, fallas eléctricas, manipulación inadecuada de líquidos inflamables, fugas de gases combustibles, acumulación de basura, velas y cigarros mal apagados, artefactos de calefacción en mal estado y niños jugando con fósforos, entre otros. </w:t>
      </w:r>
      <w:r>
        <w:rPr>
          <w:rFonts w:ascii="Arial" w:eastAsia="Arial" w:hAnsi="Arial" w:cs="Arial"/>
        </w:rPr>
        <w:tab/>
      </w:r>
    </w:p>
    <w:p w14:paraId="6F00D32E" w14:textId="77777777" w:rsidR="00BA755D" w:rsidRDefault="00BA755D">
      <w:pPr>
        <w:pStyle w:val="LO-normal"/>
        <w:jc w:val="both"/>
        <w:rPr>
          <w:rFonts w:ascii="Arial" w:eastAsia="Arial" w:hAnsi="Arial" w:cs="Arial"/>
        </w:rPr>
      </w:pPr>
    </w:p>
    <w:p w14:paraId="0DB28D91" w14:textId="77777777" w:rsidR="00BA755D" w:rsidRDefault="00B64724">
      <w:pPr>
        <w:pStyle w:val="LO-normal"/>
        <w:jc w:val="both"/>
      </w:pPr>
      <w:r>
        <w:rPr>
          <w:rFonts w:ascii="Arial" w:eastAsia="Arial" w:hAnsi="Arial" w:cs="Arial"/>
        </w:rPr>
        <w:t xml:space="preserve">El autor indica que cuando ocurre un incendio se debe activar el equipo de emergencias de la ciudad y es el equipo de bomberos quien actúa como primer respondiente y su vez, se articulan entidades como la Secretaría de Salud Distrital, el Instituto Distrital de Gestión de Riesgos y Cambio Climático – IDIGER que apoya en toda la revisión de afectaciones estructurales, como también interviene en la situación la respectiva alcaldía local en asuntos de recolección de escombros y en el mismo sentido interviene las empresa de servicios públicos para verificar los daños en redes de energía y gas. </w:t>
      </w:r>
    </w:p>
    <w:p w14:paraId="15ED9EEA" w14:textId="77777777" w:rsidR="00BA755D" w:rsidRDefault="00BA755D">
      <w:pPr>
        <w:pStyle w:val="LO-normal"/>
        <w:jc w:val="both"/>
        <w:rPr>
          <w:rFonts w:ascii="Arial" w:eastAsia="Arial" w:hAnsi="Arial" w:cs="Arial"/>
        </w:rPr>
      </w:pPr>
    </w:p>
    <w:p w14:paraId="57F62311" w14:textId="77777777" w:rsidR="00BA755D" w:rsidRDefault="00B64724">
      <w:pPr>
        <w:pStyle w:val="LO-normal"/>
        <w:jc w:val="both"/>
        <w:rPr>
          <w:rFonts w:ascii="Arial" w:eastAsia="Arial" w:hAnsi="Arial" w:cs="Arial"/>
        </w:rPr>
      </w:pPr>
      <w:r>
        <w:rPr>
          <w:rFonts w:ascii="Arial" w:eastAsia="Arial" w:hAnsi="Arial" w:cs="Arial"/>
        </w:rPr>
        <w:t>En aras de garantizar la seguridad de los ciudadanos, el Cuerpo Oficial de Bomberos de Bogotá lleva a cabo inspecciones exhaustivas en edificaciones y establecimientos comerciales del Distrito. Durante estas revisiones, se evalúan las condiciones de seguridad humana, los riesgos de incendio, la presencia de materiales peligrosos, los sistemas de protección contra incendios (SPCI) y las condiciones de seguridad humana (SH). Estas acciones preventivas buscan asegurar que los espacios cumplan con las normas de seguridad y minimizar el riesgo de incendios, contribuyendo a la protección de la comunidad.</w:t>
      </w:r>
    </w:p>
    <w:p w14:paraId="18AC1586" w14:textId="77777777" w:rsidR="00BA755D" w:rsidRDefault="00BA755D">
      <w:pPr>
        <w:pStyle w:val="LO-normal"/>
        <w:jc w:val="both"/>
        <w:rPr>
          <w:rFonts w:ascii="Arial" w:eastAsia="Arial" w:hAnsi="Arial" w:cs="Arial"/>
        </w:rPr>
      </w:pPr>
    </w:p>
    <w:p w14:paraId="1CC2810F" w14:textId="77777777" w:rsidR="00BA755D" w:rsidRDefault="00B64724">
      <w:pPr>
        <w:pStyle w:val="LO-normal"/>
        <w:jc w:val="both"/>
        <w:rPr>
          <w:rFonts w:ascii="Arial" w:eastAsia="Arial" w:hAnsi="Arial" w:cs="Arial"/>
        </w:rPr>
      </w:pPr>
      <w:r>
        <w:rPr>
          <w:rFonts w:ascii="Arial" w:eastAsia="Arial" w:hAnsi="Arial" w:cs="Arial"/>
        </w:rPr>
        <w:t>Ante el ingente esfuerzo que demanda la extinción de incendios, así como la prevención de pérdidas humanas y materiales, se torna esencial que la ciudadanía adquiera conciencia sobre los cuidados elementales para evitar la ocurrencia de estos siniestros. De igual forma, resulta fundamental que la población cuente con los implementos de protección necesarios para minimizar los riesgos en caso de que un incendio se declare. La prevención y la preparación son pilares fundamentales para salvaguardar vidas y bienes ante este tipo de eventualidades según indica el autor.</w:t>
      </w:r>
    </w:p>
    <w:p w14:paraId="6CDDEBF2" w14:textId="77777777" w:rsidR="00BA755D" w:rsidRDefault="00BA755D">
      <w:pPr>
        <w:pStyle w:val="LO-normal"/>
        <w:jc w:val="both"/>
        <w:rPr>
          <w:rFonts w:ascii="Arial" w:eastAsia="Arial" w:hAnsi="Arial" w:cs="Arial"/>
        </w:rPr>
      </w:pPr>
    </w:p>
    <w:p w14:paraId="18B19868" w14:textId="53BE8C88" w:rsidR="00BA755D" w:rsidRDefault="00B64724">
      <w:pPr>
        <w:pStyle w:val="LO-normal"/>
        <w:jc w:val="both"/>
      </w:pPr>
      <w:r>
        <w:rPr>
          <w:rFonts w:ascii="Arial" w:eastAsia="Arial" w:hAnsi="Arial" w:cs="Arial"/>
        </w:rPr>
        <w:t xml:space="preserve">Es así, </w:t>
      </w:r>
      <w:r w:rsidR="00F85609">
        <w:rPr>
          <w:rFonts w:ascii="Arial" w:eastAsia="Arial" w:hAnsi="Arial" w:cs="Arial"/>
        </w:rPr>
        <w:t>que,</w:t>
      </w:r>
      <w:r>
        <w:rPr>
          <w:rFonts w:ascii="Arial" w:eastAsia="Arial" w:hAnsi="Arial" w:cs="Arial"/>
        </w:rPr>
        <w:t xml:space="preserve"> como uno de los mecanismos de prevención, se ha constituido un mecanismo de prevención denominado </w:t>
      </w:r>
      <w:r>
        <w:rPr>
          <w:rFonts w:ascii="Arial" w:eastAsia="Arial" w:hAnsi="Arial" w:cs="Arial"/>
          <w:b/>
          <w:i/>
        </w:rPr>
        <w:t>Concepto Técnico de Bomberos</w:t>
      </w:r>
      <w:r>
        <w:rPr>
          <w:rFonts w:ascii="Arial" w:eastAsia="Arial" w:hAnsi="Arial" w:cs="Arial"/>
        </w:rPr>
        <w:t xml:space="preserve">, que se define como </w:t>
      </w:r>
      <w:r>
        <w:rPr>
          <w:rFonts w:ascii="Arial" w:eastAsia="Arial" w:hAnsi="Arial" w:cs="Arial"/>
          <w:i/>
        </w:rPr>
        <w:t xml:space="preserve">“la apreciación técnica emitida por el Cuerpo Oficial de Bomberos de Bogotá a través de la cual se revisan las condiciones de seguridad humana, riesgos de incendio, materiales peligrosos y sistemas de protección contra incendios que se presentan en las edificaciones o establecimientos del distrito. También se realizan las pruebas de presión a las redes hidráulicas del establecimiento.” </w:t>
      </w:r>
      <w:r>
        <w:rPr>
          <w:rFonts w:ascii="Arial" w:eastAsia="Arial" w:hAnsi="Arial" w:cs="Arial"/>
        </w:rPr>
        <w:t xml:space="preserve">Estas inspecciones están regladas por normas distritales como Acuerdo 20 de 1995, la Resolución 1016 de 1989 y el Acuerdo Distrital 341 de 2008, y el Reglamento colombiano de construcción sismo resistente NSR-98 y NSR10. </w:t>
      </w:r>
    </w:p>
    <w:p w14:paraId="70307A10" w14:textId="77777777" w:rsidR="00BA755D" w:rsidRDefault="00BA755D">
      <w:pPr>
        <w:pStyle w:val="LO-normal"/>
        <w:jc w:val="both"/>
        <w:rPr>
          <w:rFonts w:ascii="Arial" w:eastAsia="Arial" w:hAnsi="Arial" w:cs="Arial"/>
        </w:rPr>
      </w:pPr>
    </w:p>
    <w:p w14:paraId="6C5A8470" w14:textId="77777777" w:rsidR="00F85609" w:rsidRDefault="00F85609">
      <w:pPr>
        <w:pStyle w:val="LO-normal"/>
        <w:jc w:val="both"/>
        <w:rPr>
          <w:rFonts w:ascii="Arial" w:eastAsia="Arial" w:hAnsi="Arial" w:cs="Arial"/>
        </w:rPr>
      </w:pPr>
    </w:p>
    <w:p w14:paraId="40C96482" w14:textId="77777777" w:rsidR="00F85609" w:rsidRDefault="00F85609">
      <w:pPr>
        <w:pStyle w:val="LO-normal"/>
        <w:jc w:val="both"/>
        <w:rPr>
          <w:rFonts w:ascii="Arial" w:eastAsia="Arial" w:hAnsi="Arial" w:cs="Arial"/>
        </w:rPr>
      </w:pPr>
    </w:p>
    <w:p w14:paraId="6D84CA25" w14:textId="77777777" w:rsidR="00F85609" w:rsidRDefault="00F85609">
      <w:pPr>
        <w:pStyle w:val="LO-normal"/>
        <w:jc w:val="both"/>
        <w:rPr>
          <w:rFonts w:ascii="Arial" w:eastAsia="Arial" w:hAnsi="Arial" w:cs="Arial"/>
        </w:rPr>
      </w:pPr>
    </w:p>
    <w:p w14:paraId="0EC79F11"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Con la expedición del Acuerdo 927 de 2024, Bogotá Camina Segura, en su artículo 290, parágrafo 2, donde se </w:t>
      </w:r>
      <w:r>
        <w:rPr>
          <w:rFonts w:ascii="Arial" w:eastAsia="Arial" w:hAnsi="Arial" w:cs="Arial"/>
        </w:rPr>
        <w:t>establece</w:t>
      </w:r>
      <w:r>
        <w:rPr>
          <w:rFonts w:ascii="Arial" w:eastAsia="Arial" w:hAnsi="Arial" w:cs="Arial"/>
          <w:color w:val="000000"/>
        </w:rPr>
        <w:t xml:space="preserve"> la sobretasa bomberil y se elimina el cobro de las inspecciones técnicas, se ha evidenciado un aumento muy importante en las solicitudes de inspecciones. Entre enero y junio de 2024, las solicitudes fueron de un poco más de 10 mil, mientras que, entre julio y septiembre superaron las 17 mil, es decir un incremento del 170%. Lo anterior nos permite proyectar 40 mil solicitudes a finales de diciembre del 2024 y para el próximo 2025, alcanzar entre 50 y 60 mil solicitudes. El incremento en las solicitudes se traduce en establecimientos más seguros en la ciudad.</w:t>
      </w:r>
      <w:r>
        <w:rPr>
          <w:rFonts w:ascii="Arial" w:eastAsia="Arial" w:hAnsi="Arial" w:cs="Arial"/>
          <w:color w:val="000000"/>
          <w:vertAlign w:val="superscript"/>
        </w:rPr>
        <w:footnoteReference w:id="1"/>
      </w:r>
    </w:p>
    <w:p w14:paraId="1B2E0E58"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50E8FE2A" w14:textId="5475DC0E"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En Colombia la Ley 1575 de 2012 determinó que el Cuerpo Oficial de Bomberos es el encargado de realiza la inspección y la realización de todas las revisiones técnicas a los establecimientos comerciales con el fin de operar, permitiendo así que se tengan sistemas de protección contra incendios. Aunque no es obligatorio por según la norma, se debe procurar que </w:t>
      </w:r>
      <w:r w:rsidR="00F85609">
        <w:rPr>
          <w:rFonts w:ascii="Arial" w:eastAsia="Arial" w:hAnsi="Arial" w:cs="Arial"/>
          <w:color w:val="000000"/>
        </w:rPr>
        <w:t>los establecimientos</w:t>
      </w:r>
      <w:r>
        <w:rPr>
          <w:rFonts w:ascii="Arial" w:eastAsia="Arial" w:hAnsi="Arial" w:cs="Arial"/>
          <w:color w:val="000000"/>
        </w:rPr>
        <w:t xml:space="preserve"> comerciales y edificaciones puedan acogerse a dicha reglamentación, sin embargo, ante el desconocimiento de dichas normas, no existe algo que motive o impulse la implementación de esta medida de prevención contra incendios. </w:t>
      </w:r>
    </w:p>
    <w:p w14:paraId="156B73F1"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564BA07E"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Según el autor en la página web del Cuerpo Oficial de Bomberos explica como los establecimientos en </w:t>
      </w:r>
      <w:r>
        <w:rPr>
          <w:rFonts w:ascii="Arial" w:eastAsia="Arial" w:hAnsi="Arial" w:cs="Arial"/>
          <w:b/>
          <w:color w:val="000000"/>
          <w:u w:val="single"/>
        </w:rPr>
        <w:t>riesgo bajo</w:t>
      </w:r>
      <w:r>
        <w:rPr>
          <w:rFonts w:ascii="Arial" w:eastAsia="Arial" w:hAnsi="Arial" w:cs="Arial"/>
          <w:color w:val="000000"/>
        </w:rPr>
        <w:t xml:space="preserve">, deben realizar lo siguiente: </w:t>
      </w:r>
    </w:p>
    <w:p w14:paraId="2E58E79A"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23B9D304"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i/>
          <w:color w:val="000000"/>
        </w:rPr>
        <w:t xml:space="preserve">Si el establecimiento se encuentra clasificado en riesgo bajo llegará al correo registrado por la ciudadanía en el portal de servicios, un usuario y contraseña para que realice la capacitación. Una vez realizado el curso virtual, se realiza revisión y aprobación para continuar el proceso de auto revisión en el portal de servicios. El certificado de seguridad estará disponible en el portal de servicios, una vez sea diligenciado del formulario de AUTO-REVISIÓN. </w:t>
      </w:r>
      <w:r>
        <w:rPr>
          <w:rFonts w:ascii="Arial" w:eastAsia="Arial" w:hAnsi="Arial" w:cs="Arial"/>
          <w:color w:val="000000"/>
        </w:rPr>
        <w:t xml:space="preserve"> </w:t>
      </w:r>
    </w:p>
    <w:p w14:paraId="2AE112A7" w14:textId="77777777" w:rsidR="00BA755D" w:rsidRDefault="00BA755D">
      <w:pPr>
        <w:pStyle w:val="LO-normal"/>
        <w:pBdr>
          <w:top w:val="nil"/>
          <w:left w:val="nil"/>
          <w:bottom w:val="nil"/>
          <w:right w:val="nil"/>
          <w:between w:val="nil"/>
        </w:pBdr>
        <w:shd w:val="clear" w:color="auto" w:fill="FFFFFF"/>
        <w:jc w:val="both"/>
        <w:rPr>
          <w:rFonts w:ascii="Arial" w:eastAsia="Arial" w:hAnsi="Arial" w:cs="Arial"/>
          <w:color w:val="000000"/>
        </w:rPr>
      </w:pPr>
    </w:p>
    <w:p w14:paraId="17954E1D" w14:textId="77777777"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Por otro lado, los establecimientos de </w:t>
      </w:r>
      <w:r>
        <w:rPr>
          <w:rFonts w:ascii="Arial" w:eastAsia="Arial" w:hAnsi="Arial" w:cs="Arial"/>
          <w:b/>
          <w:color w:val="000000"/>
          <w:u w:val="single"/>
        </w:rPr>
        <w:t>riesgo moderado y alto</w:t>
      </w:r>
      <w:r>
        <w:rPr>
          <w:rFonts w:ascii="Arial" w:eastAsia="Arial" w:hAnsi="Arial" w:cs="Arial"/>
          <w:color w:val="000000"/>
        </w:rPr>
        <w:t xml:space="preserve"> indica: </w:t>
      </w:r>
    </w:p>
    <w:p w14:paraId="55E25FE9" w14:textId="77777777" w:rsidR="00BA755D" w:rsidRDefault="00B64724">
      <w:pPr>
        <w:pStyle w:val="LO-normal"/>
        <w:pBdr>
          <w:top w:val="nil"/>
          <w:left w:val="nil"/>
          <w:bottom w:val="nil"/>
          <w:right w:val="nil"/>
          <w:between w:val="nil"/>
        </w:pBdr>
        <w:shd w:val="clear" w:color="auto" w:fill="FFFFFF"/>
        <w:spacing w:before="280" w:after="280"/>
        <w:ind w:left="567" w:right="708"/>
        <w:jc w:val="both"/>
        <w:rPr>
          <w:rFonts w:eastAsia="Times New Roman" w:cs="Times New Roman"/>
          <w:i/>
          <w:color w:val="000000"/>
        </w:rPr>
      </w:pPr>
      <w:r>
        <w:rPr>
          <w:rFonts w:ascii="Arial" w:eastAsia="Arial" w:hAnsi="Arial" w:cs="Arial"/>
          <w:i/>
          <w:color w:val="000000"/>
        </w:rPr>
        <w:t>Si el establecimiento se encuentra clasificado en riesgo moderado o alto, a partir de la fecha de registro y dentro de los treinta (30) días hábiles siguientes, desde la Subdirección de Gestión del Riesgo de la entidad, se programa visita. El concepto de seguridad estará disponible en la oficina de Servicio a la Ciudadanía dentro de los treinta (30) días hábiles siguientes a realizada la visita. Si la ciudadanía participa en la feria de servicio recibirá la capacitación de manera presencial, y posterior al diligenciamiento del formulario de AUTO-REVISION recibirá el certificado de seguridad.</w:t>
      </w:r>
    </w:p>
    <w:p w14:paraId="4E9FBA80" w14:textId="77777777" w:rsidR="00F85609" w:rsidRDefault="00F85609">
      <w:pPr>
        <w:pStyle w:val="LO-normal"/>
        <w:pBdr>
          <w:top w:val="nil"/>
          <w:left w:val="nil"/>
          <w:bottom w:val="nil"/>
          <w:right w:val="nil"/>
          <w:between w:val="nil"/>
        </w:pBdr>
        <w:shd w:val="clear" w:color="auto" w:fill="FFFFFF"/>
        <w:jc w:val="both"/>
        <w:rPr>
          <w:rFonts w:ascii="Arial" w:eastAsia="Arial" w:hAnsi="Arial" w:cs="Arial"/>
          <w:color w:val="000000"/>
        </w:rPr>
      </w:pPr>
    </w:p>
    <w:p w14:paraId="24B90C81" w14:textId="77777777" w:rsidR="00F85609" w:rsidRDefault="00F85609">
      <w:pPr>
        <w:pStyle w:val="LO-normal"/>
        <w:pBdr>
          <w:top w:val="nil"/>
          <w:left w:val="nil"/>
          <w:bottom w:val="nil"/>
          <w:right w:val="nil"/>
          <w:between w:val="nil"/>
        </w:pBdr>
        <w:shd w:val="clear" w:color="auto" w:fill="FFFFFF"/>
        <w:jc w:val="both"/>
        <w:rPr>
          <w:rFonts w:ascii="Arial" w:eastAsia="Arial" w:hAnsi="Arial" w:cs="Arial"/>
          <w:color w:val="000000"/>
        </w:rPr>
      </w:pPr>
    </w:p>
    <w:p w14:paraId="200D1885" w14:textId="77777777" w:rsidR="00F85609" w:rsidRDefault="00F85609">
      <w:pPr>
        <w:pStyle w:val="LO-normal"/>
        <w:pBdr>
          <w:top w:val="nil"/>
          <w:left w:val="nil"/>
          <w:bottom w:val="nil"/>
          <w:right w:val="nil"/>
          <w:between w:val="nil"/>
        </w:pBdr>
        <w:shd w:val="clear" w:color="auto" w:fill="FFFFFF"/>
        <w:jc w:val="both"/>
        <w:rPr>
          <w:rFonts w:ascii="Arial" w:eastAsia="Arial" w:hAnsi="Arial" w:cs="Arial"/>
          <w:color w:val="000000"/>
        </w:rPr>
      </w:pPr>
    </w:p>
    <w:p w14:paraId="0B644CFD" w14:textId="77777777" w:rsidR="00F85609" w:rsidRDefault="00F85609">
      <w:pPr>
        <w:pStyle w:val="LO-normal"/>
        <w:pBdr>
          <w:top w:val="nil"/>
          <w:left w:val="nil"/>
          <w:bottom w:val="nil"/>
          <w:right w:val="nil"/>
          <w:between w:val="nil"/>
        </w:pBdr>
        <w:shd w:val="clear" w:color="auto" w:fill="FFFFFF"/>
        <w:jc w:val="both"/>
        <w:rPr>
          <w:rFonts w:ascii="Arial" w:eastAsia="Arial" w:hAnsi="Arial" w:cs="Arial"/>
          <w:color w:val="000000"/>
        </w:rPr>
      </w:pPr>
    </w:p>
    <w:p w14:paraId="68866261" w14:textId="31725CF1" w:rsidR="00BA755D" w:rsidRDefault="00B64724">
      <w:pPr>
        <w:pStyle w:val="LO-normal"/>
        <w:pBdr>
          <w:top w:val="nil"/>
          <w:left w:val="nil"/>
          <w:bottom w:val="nil"/>
          <w:right w:val="nil"/>
          <w:between w:val="nil"/>
        </w:pBdr>
        <w:shd w:val="clear" w:color="auto" w:fill="FFFFFF"/>
        <w:jc w:val="both"/>
        <w:rPr>
          <w:rFonts w:ascii="Arial" w:eastAsia="Arial" w:hAnsi="Arial" w:cs="Arial"/>
          <w:color w:val="000000"/>
        </w:rPr>
      </w:pPr>
      <w:r>
        <w:rPr>
          <w:rFonts w:ascii="Arial" w:eastAsia="Arial" w:hAnsi="Arial" w:cs="Arial"/>
          <w:color w:val="000000"/>
        </w:rPr>
        <w:t xml:space="preserve">Por otro lado, el autor indica que la inspección no es obligatoria, los establecimientos de comercio deben cumplir ciertos aspectos determinados en la ley, en ese sentido, la Ley 1801 “Código de Policía” establece que se puede solicitar conceptos técnicos para el cumplimiento de requisitos de prevención y protección contra incendios. En 2024 se emitieron 30,000 conceptos que es ínfima con </w:t>
      </w:r>
      <w:r>
        <w:rPr>
          <w:rFonts w:ascii="Arial" w:eastAsia="Arial" w:hAnsi="Arial" w:cs="Arial"/>
        </w:rPr>
        <w:t>respecto al universo</w:t>
      </w:r>
      <w:r>
        <w:rPr>
          <w:rFonts w:ascii="Arial" w:eastAsia="Arial" w:hAnsi="Arial" w:cs="Arial"/>
          <w:color w:val="000000"/>
        </w:rPr>
        <w:t xml:space="preserve"> de edificaciones y puntualmente de establecimientos que operan en la ciudad. (420.020 con matrículas activas) según se muestran las cifras de las dinámicas empresariales que trae el autor emitidas por </w:t>
      </w:r>
      <w:r>
        <w:rPr>
          <w:rFonts w:ascii="Arial" w:eastAsia="Arial" w:hAnsi="Arial" w:cs="Arial"/>
        </w:rPr>
        <w:t>la Secretaría</w:t>
      </w:r>
      <w:r>
        <w:rPr>
          <w:rFonts w:ascii="Arial" w:eastAsia="Arial" w:hAnsi="Arial" w:cs="Arial"/>
          <w:color w:val="000000"/>
        </w:rPr>
        <w:t xml:space="preserve"> de Desarrollo Económico. </w:t>
      </w:r>
    </w:p>
    <w:p w14:paraId="0679234B" w14:textId="77777777" w:rsidR="00BA755D" w:rsidRDefault="00BA755D">
      <w:pPr>
        <w:pStyle w:val="LO-normal"/>
        <w:pBdr>
          <w:top w:val="nil"/>
          <w:left w:val="nil"/>
          <w:bottom w:val="nil"/>
          <w:right w:val="nil"/>
          <w:between w:val="nil"/>
        </w:pBdr>
        <w:shd w:val="clear" w:color="auto" w:fill="FFFFFF"/>
        <w:jc w:val="both"/>
        <w:rPr>
          <w:rFonts w:eastAsia="Times New Roman" w:cs="Times New Roman"/>
          <w:color w:val="000000"/>
        </w:rPr>
      </w:pPr>
    </w:p>
    <w:p w14:paraId="704BB7FB" w14:textId="2E1C495F" w:rsidR="00BA755D" w:rsidRDefault="00B64724">
      <w:pPr>
        <w:pStyle w:val="LO-normal"/>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El proyecto busca ampliar la cantidad de propietarios y administradores que se capaciten y obtengan un concepto técnico de bomberos incluyendo a los establecimientos de bajo riesgo, que le ayude a mejorar sus condiciones de seguridad y sus sistemas de protección contra incendios. Este concepto es anual </w:t>
      </w:r>
      <w:r w:rsidR="00F85609">
        <w:rPr>
          <w:rFonts w:ascii="Arial" w:eastAsia="Arial" w:hAnsi="Arial" w:cs="Arial"/>
          <w:color w:val="000000"/>
        </w:rPr>
        <w:t>de acuerdo con</w:t>
      </w:r>
      <w:r>
        <w:rPr>
          <w:rFonts w:ascii="Arial" w:eastAsia="Arial" w:hAnsi="Arial" w:cs="Arial"/>
          <w:color w:val="000000"/>
        </w:rPr>
        <w:t xml:space="preserve"> la Resolución 661 de 2014 de la Dirección Nacional de Bomberos, o pueden tener una menor vigencia en la medida que el usuario realice algún tipo de intervención física que aumente el riesgo y conlleve a que se deba modificar el concepto. </w:t>
      </w:r>
    </w:p>
    <w:p w14:paraId="23DDF9D1" w14:textId="77777777" w:rsidR="00BA755D" w:rsidRDefault="00BA755D">
      <w:pPr>
        <w:pStyle w:val="LO-normal"/>
        <w:pBdr>
          <w:top w:val="nil"/>
          <w:left w:val="nil"/>
          <w:bottom w:val="nil"/>
          <w:right w:val="nil"/>
          <w:between w:val="nil"/>
        </w:pBdr>
        <w:jc w:val="both"/>
        <w:rPr>
          <w:rFonts w:ascii="Arial" w:eastAsia="Arial" w:hAnsi="Arial" w:cs="Arial"/>
          <w:color w:val="000000"/>
        </w:rPr>
      </w:pPr>
    </w:p>
    <w:p w14:paraId="15C5947B" w14:textId="77777777" w:rsidR="00BA755D" w:rsidRDefault="00B64724">
      <w:pPr>
        <w:pStyle w:val="LO-normal"/>
        <w:pBdr>
          <w:top w:val="nil"/>
          <w:left w:val="nil"/>
          <w:bottom w:val="nil"/>
          <w:right w:val="nil"/>
          <w:between w:val="nil"/>
        </w:pBdr>
        <w:jc w:val="both"/>
        <w:rPr>
          <w:rFonts w:ascii="Arial" w:eastAsia="Arial" w:hAnsi="Arial" w:cs="Arial"/>
          <w:color w:val="000000"/>
        </w:rPr>
      </w:pPr>
      <w:r>
        <w:rPr>
          <w:rFonts w:ascii="Arial" w:eastAsia="Arial" w:hAnsi="Arial" w:cs="Arial"/>
          <w:color w:val="000000"/>
        </w:rPr>
        <w:t>El cuerpo de bomberos no tiene la competencia de realizar la inspección, vigilancia y control, sin embargo, si se requieren desarrollar acciones que se consideren de prevención basadas en lo que indica el ARTÍCULO 42 de la Ley 1575 de 2012. INSPECCIONES Y CERTIFICADOS DE SEGURIDAD. &lt;Artículo modificado por el artículo 7 de la Ley 1796 de 2016. El nuevo texto es el siguiente:&gt; Los cuerpos de bomberos son los órganos competentes para la realización de las labores de inspecciones en prevención de incendios y seguridad humana en edificaciones públicas, privadas y particularmente en los establecimientos públicos de comercio e industriales, e informarán a la entidad competente el cumplimiento de las normas de seguridad en general. De igual manera, para la realización de eventos masivos y/o pirotécnicos, harán cumplir toda la normativa vigente en cuanto a la gestión integral del riesgo contra incendio y calamidades conexas. Estas inspecciones, contemplarán los siguientes aspectos:</w:t>
      </w:r>
    </w:p>
    <w:p w14:paraId="57DDE615" w14:textId="77777777" w:rsidR="00BA755D" w:rsidRDefault="00BA755D">
      <w:pPr>
        <w:pStyle w:val="LO-normal"/>
        <w:pBdr>
          <w:top w:val="nil"/>
          <w:left w:val="nil"/>
          <w:bottom w:val="nil"/>
          <w:right w:val="nil"/>
          <w:between w:val="nil"/>
        </w:pBdr>
        <w:jc w:val="both"/>
        <w:rPr>
          <w:rFonts w:ascii="Arial" w:eastAsia="Arial" w:hAnsi="Arial" w:cs="Arial"/>
          <w:color w:val="000000"/>
        </w:rPr>
      </w:pPr>
    </w:p>
    <w:p w14:paraId="76D0A4B1" w14:textId="1B9E22E6" w:rsidR="00BA755D" w:rsidRDefault="00B64724">
      <w:pPr>
        <w:pStyle w:val="LO-normal"/>
        <w:numPr>
          <w:ilvl w:val="0"/>
          <w:numId w:val="2"/>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Realización de inspección y prueba anual de los sistemas de protección contra incendio </w:t>
      </w:r>
      <w:r w:rsidR="00F85609">
        <w:rPr>
          <w:rFonts w:ascii="Arial" w:eastAsia="Arial" w:hAnsi="Arial" w:cs="Arial"/>
          <w:color w:val="000000"/>
        </w:rPr>
        <w:t>de acuerdo con</w:t>
      </w:r>
      <w:r>
        <w:rPr>
          <w:rFonts w:ascii="Arial" w:eastAsia="Arial" w:hAnsi="Arial" w:cs="Arial"/>
          <w:color w:val="000000"/>
        </w:rPr>
        <w:t xml:space="preserve"> la normativa vigente.</w:t>
      </w:r>
    </w:p>
    <w:p w14:paraId="3465BD15" w14:textId="77777777" w:rsidR="00F85609" w:rsidRDefault="00F85609" w:rsidP="00F85609">
      <w:pPr>
        <w:pStyle w:val="LO-normal"/>
        <w:pBdr>
          <w:top w:val="nil"/>
          <w:left w:val="nil"/>
          <w:bottom w:val="nil"/>
          <w:right w:val="nil"/>
          <w:between w:val="nil"/>
        </w:pBdr>
        <w:ind w:left="720"/>
        <w:jc w:val="both"/>
        <w:rPr>
          <w:rFonts w:ascii="Arial" w:eastAsia="Arial" w:hAnsi="Arial" w:cs="Arial"/>
          <w:color w:val="000000"/>
        </w:rPr>
      </w:pPr>
    </w:p>
    <w:p w14:paraId="3D4B1E2D" w14:textId="77777777" w:rsidR="00BA755D" w:rsidRDefault="00B64724">
      <w:pPr>
        <w:pStyle w:val="LO-normal"/>
        <w:numPr>
          <w:ilvl w:val="0"/>
          <w:numId w:val="2"/>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Realización de inspecciones técnicas planeadas referentes a incendio y seguridad humana. Todos los ciudadanos deberán facilitar en sus instalaciones las inspecciones de seguridad humana y técnicas que el cuerpo de bomberos realice como medida de prevención y durante las acciones de control.</w:t>
      </w:r>
    </w:p>
    <w:p w14:paraId="05D17234" w14:textId="77777777" w:rsidR="00BA755D" w:rsidRDefault="00BA755D">
      <w:pPr>
        <w:pStyle w:val="LO-normal"/>
        <w:pBdr>
          <w:top w:val="nil"/>
          <w:left w:val="nil"/>
          <w:bottom w:val="nil"/>
          <w:right w:val="nil"/>
          <w:between w:val="nil"/>
        </w:pBdr>
        <w:jc w:val="both"/>
        <w:rPr>
          <w:rFonts w:eastAsia="Times New Roman" w:cs="Times New Roman"/>
          <w:color w:val="000000"/>
        </w:rPr>
      </w:pPr>
    </w:p>
    <w:p w14:paraId="11EB2403"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6B198ED4"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014D40D8"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77D56FE8"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095FDCA2"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388AEAC0"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31148B01" w14:textId="77777777" w:rsidR="00F85609" w:rsidRDefault="00F85609">
      <w:pPr>
        <w:pStyle w:val="LO-normal"/>
        <w:pBdr>
          <w:top w:val="nil"/>
          <w:left w:val="nil"/>
          <w:bottom w:val="nil"/>
          <w:right w:val="nil"/>
          <w:between w:val="nil"/>
        </w:pBdr>
        <w:jc w:val="both"/>
        <w:rPr>
          <w:rFonts w:eastAsia="Times New Roman" w:cs="Times New Roman"/>
          <w:color w:val="000000"/>
        </w:rPr>
      </w:pPr>
    </w:p>
    <w:p w14:paraId="4F16DDCD" w14:textId="77777777" w:rsidR="00BA755D" w:rsidRDefault="00B64724">
      <w:pPr>
        <w:pStyle w:val="LO-normal"/>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A nivel distrital el </w:t>
      </w:r>
      <w:r>
        <w:rPr>
          <w:rFonts w:ascii="Arial" w:eastAsia="Arial" w:hAnsi="Arial" w:cs="Arial"/>
        </w:rPr>
        <w:t>artículo</w:t>
      </w:r>
      <w:r>
        <w:rPr>
          <w:rFonts w:ascii="Arial" w:eastAsia="Arial" w:hAnsi="Arial" w:cs="Arial"/>
          <w:color w:val="000000"/>
        </w:rPr>
        <w:t xml:space="preserve"> 9 del Decreto 509 de 2023, "Por medio del cual se modifica la estructura organizacional de la Unidad Administrativa Especial Cuerpo Oficial de Bomberos de Bogotá, D.C le confiere  a la Subdirección de Gestión del Riesgo funciones en el literal g </w:t>
      </w:r>
      <w:r>
        <w:rPr>
          <w:rFonts w:ascii="Arial" w:eastAsia="Arial" w:hAnsi="Arial" w:cs="Arial"/>
          <w:i/>
          <w:color w:val="000000"/>
        </w:rPr>
        <w:t xml:space="preserve">“Implementar los proyectos y gestionar programas y campañas sobre la gestión integral del riesgo contra incendio, los preparativos y atención de rescates en todas sus modalidades y la atención de incidentes con materiales peligrosos, en coordinación con las áreas y entidades a que haya lugar.” </w:t>
      </w:r>
      <w:r>
        <w:rPr>
          <w:rFonts w:ascii="Arial" w:eastAsia="Arial" w:hAnsi="Arial" w:cs="Arial"/>
          <w:color w:val="000000"/>
        </w:rPr>
        <w:t xml:space="preserve">En el mismo sentido le indica en el literal o </w:t>
      </w:r>
      <w:r>
        <w:rPr>
          <w:rFonts w:ascii="Arial" w:eastAsia="Arial" w:hAnsi="Arial" w:cs="Arial"/>
          <w:i/>
          <w:color w:val="000000"/>
        </w:rPr>
        <w:t>“Proponer y gestionar alternativas para la revisión y aprobación de diseños de instalaciones desde el punto de vista pasivo y activo contra incendio, y demás actividades de prevención en obras y mantenimiento durante la vida útil de las edificaciones.”</w:t>
      </w:r>
    </w:p>
    <w:p w14:paraId="3B47E20E" w14:textId="77777777" w:rsidR="00BA755D" w:rsidRDefault="00BA755D">
      <w:pPr>
        <w:pStyle w:val="LO-normal"/>
        <w:jc w:val="both"/>
        <w:rPr>
          <w:rFonts w:ascii="Arial" w:eastAsia="Arial" w:hAnsi="Arial" w:cs="Arial"/>
        </w:rPr>
      </w:pPr>
    </w:p>
    <w:p w14:paraId="4FB81218" w14:textId="6820B3CB" w:rsidR="00BA755D" w:rsidRDefault="00B64724">
      <w:pPr>
        <w:pStyle w:val="LO-normal"/>
        <w:jc w:val="both"/>
      </w:pPr>
      <w:r>
        <w:rPr>
          <w:rFonts w:ascii="Arial" w:eastAsia="Arial" w:hAnsi="Arial" w:cs="Arial"/>
        </w:rPr>
        <w:t xml:space="preserve">Sumado a lo anterior el autor indica que es necesario fortalecer las medidas de reducción de riesgo contra incendios estructurales en Bogotá como lo son las </w:t>
      </w:r>
      <w:r>
        <w:rPr>
          <w:rFonts w:ascii="Arial" w:eastAsia="Arial" w:hAnsi="Arial" w:cs="Arial"/>
          <w:i/>
        </w:rPr>
        <w:t xml:space="preserve">medidas de reducción de amenaza, </w:t>
      </w:r>
      <w:r w:rsidR="00F85609">
        <w:rPr>
          <w:rFonts w:ascii="Arial" w:eastAsia="Arial" w:hAnsi="Arial" w:cs="Arial"/>
          <w:i/>
        </w:rPr>
        <w:t>las medidas</w:t>
      </w:r>
      <w:r>
        <w:rPr>
          <w:rFonts w:ascii="Arial" w:eastAsia="Arial" w:hAnsi="Arial" w:cs="Arial"/>
          <w:i/>
        </w:rPr>
        <w:t xml:space="preserve"> de reducción de vulnerabilidad y las medidas de efecto conjunto sobre la amenaza y vulnerabilidad. </w:t>
      </w:r>
    </w:p>
    <w:p w14:paraId="639B08D8" w14:textId="77777777" w:rsidR="00BA755D" w:rsidRDefault="00BA755D">
      <w:pPr>
        <w:pStyle w:val="LO-normal"/>
        <w:jc w:val="both"/>
        <w:rPr>
          <w:rFonts w:ascii="Arial" w:eastAsia="Arial" w:hAnsi="Arial" w:cs="Arial"/>
        </w:rPr>
      </w:pPr>
    </w:p>
    <w:p w14:paraId="4DAF3669" w14:textId="77777777" w:rsidR="00BA755D" w:rsidRDefault="00B64724">
      <w:pPr>
        <w:pStyle w:val="LO-normal"/>
        <w:jc w:val="both"/>
      </w:pPr>
      <w:r>
        <w:rPr>
          <w:rFonts w:ascii="Arial" w:eastAsia="Arial" w:hAnsi="Arial" w:cs="Arial"/>
        </w:rPr>
        <w:t>Entre el 1 de enero de 2023 y el 30 de septiembre de 2024, el Cuerpo Oficial de Bomberos de Bogotá atendió un total de 1.550 incendios estructurales en la ciudad. De estos, el 89% ocurrieron en edificaciones de uso residencial, comercial, industrial y personal. Es importante destacar que 40 de los incendios atendidos se presentaron en edificios de gran altura, con más de siete pisos.</w:t>
      </w:r>
    </w:p>
    <w:p w14:paraId="55C74238" w14:textId="77777777" w:rsidR="00BA755D" w:rsidRDefault="00BA755D">
      <w:pPr>
        <w:pStyle w:val="LO-normal"/>
        <w:jc w:val="both"/>
        <w:rPr>
          <w:rFonts w:ascii="Arial" w:eastAsia="Arial" w:hAnsi="Arial" w:cs="Arial"/>
        </w:rPr>
      </w:pPr>
    </w:p>
    <w:p w14:paraId="584443A5" w14:textId="77777777" w:rsidR="00BA755D" w:rsidRDefault="00B64724">
      <w:pPr>
        <w:pStyle w:val="Ttulo2"/>
        <w:spacing w:line="276" w:lineRule="auto"/>
        <w:rPr>
          <w:rFonts w:ascii="Arial" w:eastAsia="Arial" w:hAnsi="Arial" w:cs="Arial"/>
          <w:b/>
        </w:rPr>
      </w:pPr>
      <w:bookmarkStart w:id="5" w:name="_heading=h.tyjcwt" w:colFirst="0" w:colLast="0"/>
      <w:bookmarkEnd w:id="5"/>
      <w:r>
        <w:rPr>
          <w:rFonts w:ascii="Arial" w:eastAsia="Arial" w:hAnsi="Arial" w:cs="Arial"/>
          <w:b/>
        </w:rPr>
        <w:t>4. SUSTENTO JURÍDICO DE LA INICIATIVA</w:t>
      </w:r>
      <w:r>
        <w:rPr>
          <w:rFonts w:ascii="Arial" w:eastAsia="Arial" w:hAnsi="Arial" w:cs="Arial"/>
          <w:b/>
        </w:rPr>
        <w:tab/>
      </w:r>
    </w:p>
    <w:p w14:paraId="4DE400F5" w14:textId="77777777" w:rsidR="00BA755D" w:rsidRDefault="00BA755D">
      <w:pPr>
        <w:pStyle w:val="LO-normal"/>
        <w:shd w:val="clear" w:color="auto" w:fill="FFFFFF"/>
        <w:spacing w:line="276" w:lineRule="auto"/>
        <w:jc w:val="both"/>
        <w:rPr>
          <w:rFonts w:ascii="Arial" w:eastAsia="Arial" w:hAnsi="Arial" w:cs="Arial"/>
        </w:rPr>
      </w:pPr>
    </w:p>
    <w:p w14:paraId="3F05A60C" w14:textId="77777777" w:rsidR="00BA755D" w:rsidRDefault="00B64724">
      <w:pPr>
        <w:pStyle w:val="LO-normal"/>
        <w:shd w:val="clear" w:color="auto" w:fill="FFFFFF"/>
        <w:spacing w:line="276" w:lineRule="auto"/>
        <w:jc w:val="both"/>
        <w:rPr>
          <w:rFonts w:ascii="Arial" w:eastAsia="Arial" w:hAnsi="Arial" w:cs="Arial"/>
        </w:rPr>
      </w:pPr>
      <w:r>
        <w:rPr>
          <w:rFonts w:ascii="Arial" w:eastAsia="Arial" w:hAnsi="Arial" w:cs="Arial"/>
        </w:rPr>
        <w:t xml:space="preserve">El autor en su Proyecto de Acuerdo se fundamenta en las siguientes disposiciones legales: </w:t>
      </w:r>
    </w:p>
    <w:p w14:paraId="56BFFB8A" w14:textId="77777777" w:rsidR="00BA755D" w:rsidRDefault="00BA755D">
      <w:pPr>
        <w:pStyle w:val="LO-normal"/>
        <w:shd w:val="clear" w:color="auto" w:fill="FFFFFF"/>
        <w:spacing w:line="276" w:lineRule="auto"/>
        <w:jc w:val="both"/>
        <w:rPr>
          <w:rFonts w:ascii="Arial" w:eastAsia="Arial" w:hAnsi="Arial" w:cs="Arial"/>
        </w:rPr>
      </w:pPr>
    </w:p>
    <w:p w14:paraId="1E21CD87" w14:textId="77777777" w:rsidR="00BA755D" w:rsidRDefault="00B64724">
      <w:pPr>
        <w:pStyle w:val="LO-normal"/>
        <w:shd w:val="clear" w:color="auto" w:fill="FFFFFF"/>
        <w:spacing w:line="276" w:lineRule="auto"/>
        <w:jc w:val="both"/>
        <w:rPr>
          <w:rFonts w:ascii="Arial" w:eastAsia="Arial" w:hAnsi="Arial" w:cs="Arial"/>
          <w:b/>
        </w:rPr>
      </w:pPr>
      <w:r>
        <w:rPr>
          <w:rFonts w:ascii="Arial" w:eastAsia="Arial" w:hAnsi="Arial" w:cs="Arial"/>
          <w:b/>
        </w:rPr>
        <w:t xml:space="preserve">4.1. Del orden Constitucional: </w:t>
      </w:r>
    </w:p>
    <w:p w14:paraId="11D67934" w14:textId="77777777" w:rsidR="00BA755D" w:rsidRDefault="00BA755D">
      <w:pPr>
        <w:pStyle w:val="LO-normal"/>
        <w:shd w:val="clear" w:color="auto" w:fill="FFFFFF"/>
        <w:spacing w:line="276" w:lineRule="auto"/>
        <w:jc w:val="both"/>
        <w:rPr>
          <w:rFonts w:ascii="Arial" w:eastAsia="Arial" w:hAnsi="Arial" w:cs="Arial"/>
          <w:b/>
        </w:rPr>
      </w:pPr>
    </w:p>
    <w:p w14:paraId="6BF48C77" w14:textId="77777777" w:rsidR="00BA755D" w:rsidRDefault="00B64724">
      <w:pPr>
        <w:pStyle w:val="LO-normal"/>
        <w:shd w:val="clear" w:color="auto" w:fill="FFFFFF"/>
        <w:spacing w:line="276" w:lineRule="auto"/>
        <w:jc w:val="both"/>
        <w:rPr>
          <w:rFonts w:ascii="Arial" w:eastAsia="Arial" w:hAnsi="Arial" w:cs="Arial"/>
          <w:i/>
        </w:rPr>
      </w:pPr>
      <w:r>
        <w:rPr>
          <w:rFonts w:ascii="Arial" w:eastAsia="Arial" w:hAnsi="Arial" w:cs="Arial"/>
          <w:b/>
          <w:i/>
        </w:rPr>
        <w:t xml:space="preserve">Artículo 2. Son fines esenciales del Estado. </w:t>
      </w:r>
      <w:r>
        <w:rPr>
          <w:rFonts w:ascii="Arial" w:eastAsia="Arial" w:hAnsi="Arial" w:cs="Arial"/>
          <w:i/>
        </w:rPr>
        <w:t>(...)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1FBDA380" w14:textId="77777777" w:rsidR="00BA755D" w:rsidRDefault="00BA755D">
      <w:pPr>
        <w:pStyle w:val="LO-normal"/>
        <w:shd w:val="clear" w:color="auto" w:fill="FFFFFF"/>
        <w:spacing w:line="276" w:lineRule="auto"/>
        <w:jc w:val="both"/>
        <w:rPr>
          <w:rFonts w:ascii="Arial" w:eastAsia="Arial" w:hAnsi="Arial" w:cs="Arial"/>
        </w:rPr>
      </w:pPr>
    </w:p>
    <w:p w14:paraId="3F687765" w14:textId="77777777" w:rsidR="00F85609" w:rsidRDefault="00F85609">
      <w:pPr>
        <w:pStyle w:val="LO-normal"/>
        <w:shd w:val="clear" w:color="auto" w:fill="FFFFFF"/>
        <w:spacing w:line="276" w:lineRule="auto"/>
        <w:jc w:val="both"/>
        <w:rPr>
          <w:rFonts w:ascii="Arial" w:eastAsia="Arial" w:hAnsi="Arial" w:cs="Arial"/>
        </w:rPr>
      </w:pPr>
    </w:p>
    <w:p w14:paraId="4C57FC4E" w14:textId="77777777" w:rsidR="00F85609" w:rsidRDefault="00F85609">
      <w:pPr>
        <w:pStyle w:val="LO-normal"/>
        <w:shd w:val="clear" w:color="auto" w:fill="FFFFFF"/>
        <w:spacing w:line="276" w:lineRule="auto"/>
        <w:jc w:val="both"/>
        <w:rPr>
          <w:rFonts w:ascii="Arial" w:eastAsia="Arial" w:hAnsi="Arial" w:cs="Arial"/>
        </w:rPr>
      </w:pPr>
    </w:p>
    <w:p w14:paraId="007B1AF5" w14:textId="77777777" w:rsidR="00F85609" w:rsidRDefault="00F85609">
      <w:pPr>
        <w:pStyle w:val="LO-normal"/>
        <w:shd w:val="clear" w:color="auto" w:fill="FFFFFF"/>
        <w:spacing w:line="276" w:lineRule="auto"/>
        <w:jc w:val="both"/>
        <w:rPr>
          <w:rFonts w:ascii="Arial" w:eastAsia="Arial" w:hAnsi="Arial" w:cs="Arial"/>
        </w:rPr>
      </w:pPr>
    </w:p>
    <w:p w14:paraId="791B7E33" w14:textId="77777777" w:rsidR="00F85609" w:rsidRDefault="00F85609">
      <w:pPr>
        <w:pStyle w:val="LO-normal"/>
        <w:shd w:val="clear" w:color="auto" w:fill="FFFFFF"/>
        <w:spacing w:line="276" w:lineRule="auto"/>
        <w:jc w:val="both"/>
        <w:rPr>
          <w:rFonts w:ascii="Arial" w:eastAsia="Arial" w:hAnsi="Arial" w:cs="Arial"/>
        </w:rPr>
      </w:pPr>
    </w:p>
    <w:p w14:paraId="6741A248" w14:textId="77777777" w:rsidR="00F85609" w:rsidRDefault="00F85609">
      <w:pPr>
        <w:pStyle w:val="LO-normal"/>
        <w:shd w:val="clear" w:color="auto" w:fill="FFFFFF"/>
        <w:spacing w:line="276" w:lineRule="auto"/>
        <w:jc w:val="both"/>
        <w:rPr>
          <w:rFonts w:ascii="Arial" w:eastAsia="Arial" w:hAnsi="Arial" w:cs="Arial"/>
        </w:rPr>
      </w:pPr>
    </w:p>
    <w:p w14:paraId="5A990BBF" w14:textId="77777777" w:rsidR="00F85609" w:rsidRDefault="00F85609">
      <w:pPr>
        <w:pStyle w:val="LO-normal"/>
        <w:shd w:val="clear" w:color="auto" w:fill="FFFFFF"/>
        <w:spacing w:line="276" w:lineRule="auto"/>
        <w:jc w:val="both"/>
        <w:rPr>
          <w:rFonts w:ascii="Arial" w:eastAsia="Arial" w:hAnsi="Arial" w:cs="Arial"/>
        </w:rPr>
      </w:pPr>
    </w:p>
    <w:p w14:paraId="49361920" w14:textId="77777777" w:rsidR="00BA755D" w:rsidRDefault="00B64724">
      <w:pPr>
        <w:pStyle w:val="LO-normal"/>
        <w:shd w:val="clear" w:color="auto" w:fill="FFFFFF"/>
        <w:spacing w:line="276" w:lineRule="auto"/>
        <w:jc w:val="both"/>
        <w:rPr>
          <w:rFonts w:ascii="Arial" w:eastAsia="Arial" w:hAnsi="Arial" w:cs="Arial"/>
        </w:rPr>
      </w:pPr>
      <w:r>
        <w:rPr>
          <w:rFonts w:ascii="Arial" w:eastAsia="Arial" w:hAnsi="Arial" w:cs="Arial"/>
          <w:b/>
        </w:rPr>
        <w:t>4.2. De orden legal:</w:t>
      </w:r>
      <w:r>
        <w:rPr>
          <w:rFonts w:ascii="Arial" w:eastAsia="Arial" w:hAnsi="Arial" w:cs="Arial"/>
        </w:rPr>
        <w:t xml:space="preserve"> </w:t>
      </w:r>
    </w:p>
    <w:p w14:paraId="3B6EC03C" w14:textId="77777777" w:rsidR="00BA755D" w:rsidRDefault="00B64724">
      <w:pPr>
        <w:pStyle w:val="LO-normal"/>
        <w:numPr>
          <w:ilvl w:val="0"/>
          <w:numId w:val="3"/>
        </w:numPr>
        <w:pBdr>
          <w:top w:val="nil"/>
          <w:left w:val="nil"/>
          <w:bottom w:val="nil"/>
          <w:right w:val="nil"/>
          <w:between w:val="nil"/>
        </w:pBdr>
        <w:spacing w:before="280" w:after="280"/>
        <w:jc w:val="both"/>
        <w:rPr>
          <w:rFonts w:ascii="Arial" w:eastAsia="Arial" w:hAnsi="Arial" w:cs="Arial"/>
          <w:b/>
          <w:i/>
          <w:color w:val="000000"/>
          <w:highlight w:val="white"/>
        </w:rPr>
      </w:pPr>
      <w:r>
        <w:rPr>
          <w:rFonts w:ascii="Arial" w:eastAsia="Arial" w:hAnsi="Arial" w:cs="Arial"/>
          <w:b/>
          <w:i/>
          <w:color w:val="000000"/>
          <w:highlight w:val="white"/>
        </w:rPr>
        <w:t>Ley 322 de 1996. Sistema Nacional de Bomberos.</w:t>
      </w:r>
    </w:p>
    <w:p w14:paraId="22D18EF2"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b/>
          <w:i/>
          <w:color w:val="000000"/>
          <w:highlight w:val="white"/>
        </w:rPr>
        <w:t>Artículo 1</w:t>
      </w:r>
      <w:r>
        <w:rPr>
          <w:rFonts w:ascii="Arial" w:eastAsia="Arial" w:hAnsi="Arial" w:cs="Arial"/>
          <w:i/>
          <w:color w:val="000000"/>
          <w:highlight w:val="white"/>
        </w:rPr>
        <w:t>. La prevención de incendios es responsabilidad de todas las autoridades y los habitantes del territorio colombiano. En cumplimiento de esta responsabilidad los organismos públicos y privados deberán contemplar la contingencia de este riesgo en los bienes inmuebles tales como parques naturales, construcciones, programas y proyectos tendientes a disminuir su vulnerabilidad.</w:t>
      </w:r>
    </w:p>
    <w:p w14:paraId="5C65A8E3" w14:textId="77777777" w:rsidR="00BA755D" w:rsidRDefault="00B64724">
      <w:pPr>
        <w:pStyle w:val="LO-normal"/>
        <w:numPr>
          <w:ilvl w:val="0"/>
          <w:numId w:val="4"/>
        </w:numPr>
        <w:pBdr>
          <w:top w:val="nil"/>
          <w:left w:val="nil"/>
          <w:bottom w:val="nil"/>
          <w:right w:val="nil"/>
          <w:between w:val="nil"/>
        </w:pBdr>
        <w:jc w:val="both"/>
        <w:rPr>
          <w:rFonts w:ascii="Arial" w:eastAsia="Arial" w:hAnsi="Arial" w:cs="Arial"/>
          <w:color w:val="000000"/>
          <w:highlight w:val="white"/>
        </w:rPr>
      </w:pPr>
      <w:r>
        <w:rPr>
          <w:rFonts w:ascii="Arial" w:eastAsia="Arial" w:hAnsi="Arial" w:cs="Arial"/>
          <w:b/>
          <w:color w:val="000000"/>
          <w:highlight w:val="white"/>
        </w:rPr>
        <w:t>Ley 1523 - 24 de abril del 2012</w:t>
      </w:r>
      <w:r>
        <w:rPr>
          <w:rFonts w:ascii="Arial" w:eastAsia="Arial" w:hAnsi="Arial" w:cs="Arial"/>
          <w:color w:val="000000"/>
          <w:highlight w:val="white"/>
        </w:rPr>
        <w:t xml:space="preserve">. </w:t>
      </w:r>
      <w:r>
        <w:rPr>
          <w:rFonts w:ascii="Arial" w:eastAsia="Arial" w:hAnsi="Arial" w:cs="Arial"/>
          <w:i/>
          <w:color w:val="000000"/>
          <w:highlight w:val="white"/>
        </w:rPr>
        <w:t>“Por el cual se adopta la política nacional de gestión del Riesgo de Desastres y se establece el Sistema Nacional de gestión del Riesgo de Desastres”</w:t>
      </w:r>
      <w:r>
        <w:rPr>
          <w:rFonts w:ascii="Arial" w:eastAsia="Arial" w:hAnsi="Arial" w:cs="Arial"/>
          <w:color w:val="000000"/>
          <w:highlight w:val="white"/>
        </w:rPr>
        <w:t>.</w:t>
      </w:r>
    </w:p>
    <w:p w14:paraId="430CF78A"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color w:val="000000"/>
          <w:highlight w:val="white"/>
        </w:rPr>
      </w:pPr>
      <w:r>
        <w:rPr>
          <w:rFonts w:ascii="Arial" w:eastAsia="Arial" w:hAnsi="Arial" w:cs="Arial"/>
          <w:b/>
          <w:i/>
          <w:color w:val="000000"/>
          <w:highlight w:val="white"/>
        </w:rPr>
        <w:t>Artículo 2. DE LA RESPONSABILIDAD</w:t>
      </w:r>
      <w:r>
        <w:rPr>
          <w:rFonts w:ascii="Arial" w:eastAsia="Arial" w:hAnsi="Arial" w:cs="Arial"/>
          <w:i/>
          <w:color w:val="000000"/>
          <w:highlight w:val="white"/>
        </w:rPr>
        <w:t>. La gestión del riesgo es responsabilidad de todas las autoridades y de los habitantes del territorio colombiano. En cumplimiento de esta responsabilidad, las entidades públicas, privadas y comunitarias desarrollarán y ejecutarán los procesos de gestión del riesgo, entiéndase: conocimiento del riesgo, reducción del riesgo y manejo de desastres, en el marco de sus competencias, su ámbito de actuación y su jurisdicción, como componentes del Sistema Nacional de Gestión del Riesgo de Desastres.</w:t>
      </w:r>
    </w:p>
    <w:p w14:paraId="63813243" w14:textId="77777777" w:rsidR="00BA755D" w:rsidRDefault="00B64724">
      <w:pPr>
        <w:pStyle w:val="LO-normal"/>
        <w:numPr>
          <w:ilvl w:val="0"/>
          <w:numId w:val="4"/>
        </w:numPr>
        <w:pBdr>
          <w:top w:val="nil"/>
          <w:left w:val="nil"/>
          <w:bottom w:val="nil"/>
          <w:right w:val="nil"/>
          <w:between w:val="nil"/>
        </w:pBdr>
        <w:jc w:val="both"/>
        <w:rPr>
          <w:rFonts w:ascii="Arial" w:eastAsia="Arial" w:hAnsi="Arial" w:cs="Arial"/>
          <w:color w:val="000000"/>
          <w:highlight w:val="white"/>
        </w:rPr>
      </w:pPr>
      <w:r>
        <w:rPr>
          <w:rFonts w:ascii="Arial" w:eastAsia="Arial" w:hAnsi="Arial" w:cs="Arial"/>
          <w:b/>
          <w:color w:val="000000"/>
          <w:highlight w:val="white"/>
        </w:rPr>
        <w:t>Ley 1575 De 2012.</w:t>
      </w:r>
      <w:r>
        <w:rPr>
          <w:rFonts w:ascii="Arial" w:eastAsia="Arial" w:hAnsi="Arial" w:cs="Arial"/>
          <w:color w:val="000000"/>
          <w:highlight w:val="white"/>
        </w:rPr>
        <w:t xml:space="preserve"> </w:t>
      </w:r>
      <w:r>
        <w:rPr>
          <w:rFonts w:ascii="Arial" w:eastAsia="Arial" w:hAnsi="Arial" w:cs="Arial"/>
          <w:i/>
          <w:color w:val="000000"/>
          <w:highlight w:val="white"/>
        </w:rPr>
        <w:t>“Por medio de la cual se establece la Ley General de Bomberos de Colombia”</w:t>
      </w:r>
      <w:r>
        <w:rPr>
          <w:rFonts w:ascii="Arial" w:eastAsia="Arial" w:hAnsi="Arial" w:cs="Arial"/>
          <w:color w:val="000000"/>
          <w:highlight w:val="white"/>
        </w:rPr>
        <w:t>.</w:t>
      </w:r>
    </w:p>
    <w:p w14:paraId="6E7218F7" w14:textId="77777777" w:rsidR="00BA755D" w:rsidRDefault="00BA755D">
      <w:pPr>
        <w:pStyle w:val="LO-normal"/>
        <w:pBdr>
          <w:top w:val="nil"/>
          <w:left w:val="nil"/>
          <w:bottom w:val="nil"/>
          <w:right w:val="nil"/>
          <w:between w:val="nil"/>
        </w:pBdr>
        <w:ind w:left="708"/>
        <w:rPr>
          <w:rFonts w:ascii="Arial" w:eastAsia="Arial" w:hAnsi="Arial" w:cs="Arial"/>
          <w:color w:val="000000"/>
          <w:highlight w:val="white"/>
        </w:rPr>
      </w:pPr>
    </w:p>
    <w:p w14:paraId="2A34B9C3" w14:textId="77777777" w:rsidR="00BA755D" w:rsidRDefault="00B64724">
      <w:pPr>
        <w:pStyle w:val="LO-normal"/>
        <w:pBdr>
          <w:top w:val="nil"/>
          <w:left w:val="nil"/>
          <w:bottom w:val="nil"/>
          <w:right w:val="nil"/>
          <w:between w:val="nil"/>
        </w:pBdr>
        <w:ind w:left="709"/>
        <w:jc w:val="both"/>
        <w:rPr>
          <w:rFonts w:ascii="Arial" w:eastAsia="Arial" w:hAnsi="Arial" w:cs="Arial"/>
          <w:b/>
          <w:i/>
          <w:color w:val="000000"/>
          <w:highlight w:val="white"/>
          <w:u w:val="single"/>
        </w:rPr>
      </w:pPr>
      <w:r>
        <w:rPr>
          <w:rFonts w:ascii="Arial" w:eastAsia="Arial" w:hAnsi="Arial" w:cs="Arial"/>
          <w:b/>
          <w:i/>
          <w:color w:val="000000"/>
          <w:highlight w:val="white"/>
        </w:rPr>
        <w:t>Artículo 2</w:t>
      </w:r>
      <w:r>
        <w:rPr>
          <w:rFonts w:ascii="Arial" w:eastAsia="Arial" w:hAnsi="Arial" w:cs="Arial"/>
          <w:i/>
          <w:color w:val="000000"/>
          <w:highlight w:val="white"/>
        </w:rPr>
        <w:t xml:space="preserve">. La gestión integral del riesgo contra incendio, los preparativos y atención de rescates en todas sus modalidades y la atención de incidentes con materiales peligrosos, estarán a cargo de las instituciones Bomberiles y para todos sus efectos, </w:t>
      </w:r>
      <w:r>
        <w:rPr>
          <w:rFonts w:ascii="Arial" w:eastAsia="Arial" w:hAnsi="Arial" w:cs="Arial"/>
          <w:b/>
          <w:i/>
          <w:color w:val="000000"/>
          <w:highlight w:val="white"/>
          <w:u w:val="single"/>
        </w:rPr>
        <w:t>constituyen un servicio público esencial a cargo del Estado.</w:t>
      </w:r>
    </w:p>
    <w:p w14:paraId="43C73565"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b/>
          <w:i/>
          <w:color w:val="000000"/>
          <w:highlight w:val="white"/>
        </w:rPr>
        <w:t>Artículo 3</w:t>
      </w:r>
      <w:r>
        <w:rPr>
          <w:rFonts w:ascii="Arial" w:eastAsia="Arial" w:hAnsi="Arial" w:cs="Arial"/>
          <w:i/>
          <w:color w:val="000000"/>
          <w:highlight w:val="white"/>
        </w:rPr>
        <w:t xml:space="preserve">. </w:t>
      </w:r>
      <w:r>
        <w:rPr>
          <w:rFonts w:ascii="Arial" w:eastAsia="Arial" w:hAnsi="Arial" w:cs="Arial"/>
          <w:b/>
          <w:i/>
          <w:color w:val="000000"/>
          <w:highlight w:val="white"/>
          <w:u w:val="single"/>
        </w:rPr>
        <w:t xml:space="preserve">Los entes territoriales deben garantizar la inclusión de políticas, estrategias, programas, proyectos y la cofinanciación para la gestión integral del riesgo contra incendios, rescates y materiales peligrosos en los instrumentos de planificación territorial e inversión pública. </w:t>
      </w:r>
      <w:r>
        <w:rPr>
          <w:rFonts w:ascii="Arial" w:eastAsia="Arial" w:hAnsi="Arial" w:cs="Arial"/>
          <w:i/>
          <w:color w:val="000000"/>
          <w:highlight w:val="white"/>
        </w:rPr>
        <w:t>Es obligación de los distritos, con asiento en su respectiva jurisdicción y de los municipios la prestación del servicio público esencial a través de los cuerpos de bomberos oficiales o mediante la celebración de contratos y/o convenios con los cuerpos de bomberos voluntarios. En cumplimiento del principio de subsidiariedad, los municipios de menos de 20.000 habitantes contarán con el apoyo técnico del departamento y la financiación del fondo departamental y/o nacional de bomberos para asegurar la prestación de este servicio.</w:t>
      </w:r>
    </w:p>
    <w:p w14:paraId="4C584F70"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b/>
          <w:i/>
          <w:color w:val="000000"/>
          <w:highlight w:val="white"/>
        </w:rPr>
        <w:t>Artículo 42.</w:t>
      </w:r>
      <w:r>
        <w:rPr>
          <w:rFonts w:ascii="Arial" w:eastAsia="Arial" w:hAnsi="Arial" w:cs="Arial"/>
          <w:i/>
          <w:color w:val="000000"/>
          <w:highlight w:val="white"/>
        </w:rPr>
        <w:t xml:space="preserve"> </w:t>
      </w:r>
      <w:r>
        <w:rPr>
          <w:rFonts w:ascii="Arial" w:eastAsia="Arial" w:hAnsi="Arial" w:cs="Arial"/>
          <w:b/>
          <w:i/>
          <w:color w:val="000000"/>
          <w:highlight w:val="white"/>
        </w:rPr>
        <w:t>Inspecciones y Certificados de Seguridad</w:t>
      </w:r>
      <w:r>
        <w:rPr>
          <w:rFonts w:ascii="Arial" w:eastAsia="Arial" w:hAnsi="Arial" w:cs="Arial"/>
          <w:i/>
          <w:color w:val="000000"/>
          <w:highlight w:val="white"/>
        </w:rPr>
        <w:t xml:space="preserve">. Artículo modificado por el artículo 7 de la </w:t>
      </w:r>
      <w:r>
        <w:rPr>
          <w:rFonts w:ascii="Arial" w:eastAsia="Arial" w:hAnsi="Arial" w:cs="Arial"/>
          <w:b/>
          <w:color w:val="000000"/>
          <w:highlight w:val="white"/>
          <w:u w:val="single"/>
        </w:rPr>
        <w:t>Ley 1796 de 2016</w:t>
      </w:r>
      <w:r>
        <w:rPr>
          <w:rFonts w:ascii="Arial" w:eastAsia="Arial" w:hAnsi="Arial" w:cs="Arial"/>
          <w:i/>
          <w:color w:val="000000"/>
          <w:highlight w:val="white"/>
        </w:rPr>
        <w:t>. El nuevo texto es el siguiente:</w:t>
      </w:r>
    </w:p>
    <w:p w14:paraId="72EC5D2B"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i/>
          <w:color w:val="000000"/>
          <w:highlight w:val="white"/>
        </w:rPr>
        <w:t>Los cuerpos de bomberos son los órganos competentes para la realización de las labores de inspecciones en prevención de incendios y seguridad humana en edificaciones públicas, privadas y particularmente en los establecimientos públicos de comercio e industriales, e informarán a la entidad competente el cumplimiento de las normas de seguridad en general. De igual manera, para la realización de eventos masivos y/o pirotécnicos, harán cumplir toda la normativa vigente en cuanto a la gestión integral del riesgo contra incendio y calamidades conexas. Estas inspecciones, contemplarán los siguientes aspectos:</w:t>
      </w:r>
    </w:p>
    <w:p w14:paraId="70BF2085" w14:textId="5F6FB8A2"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i/>
          <w:color w:val="000000"/>
          <w:highlight w:val="white"/>
        </w:rPr>
        <w:t xml:space="preserve">1. Realización de inspección y prueba anual de los sistemas de protección contra incendio </w:t>
      </w:r>
      <w:r w:rsidR="00F85609">
        <w:rPr>
          <w:rFonts w:ascii="Arial" w:eastAsia="Arial" w:hAnsi="Arial" w:cs="Arial"/>
          <w:i/>
          <w:color w:val="000000"/>
          <w:highlight w:val="white"/>
        </w:rPr>
        <w:t>de acuerdo con</w:t>
      </w:r>
      <w:r>
        <w:rPr>
          <w:rFonts w:ascii="Arial" w:eastAsia="Arial" w:hAnsi="Arial" w:cs="Arial"/>
          <w:i/>
          <w:color w:val="000000"/>
          <w:highlight w:val="white"/>
        </w:rPr>
        <w:t xml:space="preserve"> la normativa vigente.</w:t>
      </w:r>
    </w:p>
    <w:p w14:paraId="6F4F8FB7"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highlight w:val="white"/>
        </w:rPr>
      </w:pPr>
      <w:r>
        <w:rPr>
          <w:rFonts w:ascii="Arial" w:eastAsia="Arial" w:hAnsi="Arial" w:cs="Arial"/>
          <w:i/>
          <w:color w:val="000000"/>
          <w:highlight w:val="white"/>
        </w:rPr>
        <w:t>2. Realización de inspecciones técnicas planeadas referentes a incendio y seguridad humana.</w:t>
      </w:r>
    </w:p>
    <w:p w14:paraId="5A4953FE" w14:textId="77777777" w:rsidR="00BA755D" w:rsidRDefault="00B64724">
      <w:pPr>
        <w:pStyle w:val="LO-normal"/>
        <w:pBdr>
          <w:top w:val="nil"/>
          <w:left w:val="nil"/>
          <w:bottom w:val="nil"/>
          <w:right w:val="nil"/>
          <w:between w:val="nil"/>
        </w:pBdr>
        <w:spacing w:before="280" w:after="280"/>
        <w:ind w:left="709"/>
        <w:jc w:val="both"/>
        <w:rPr>
          <w:rFonts w:ascii="Arial" w:eastAsia="Arial" w:hAnsi="Arial" w:cs="Arial"/>
          <w:i/>
          <w:color w:val="000000"/>
        </w:rPr>
      </w:pPr>
      <w:r>
        <w:rPr>
          <w:rFonts w:ascii="Arial" w:eastAsia="Arial" w:hAnsi="Arial" w:cs="Arial"/>
          <w:i/>
          <w:color w:val="000000"/>
          <w:highlight w:val="white"/>
        </w:rPr>
        <w:t xml:space="preserve">Todos los ciudadanos deberán facilitar en sus instalaciones las inspecciones de seguridad humana y técnicas que el cuerpo de bomberos realice como medida de prevención y durante </w:t>
      </w:r>
      <w:r>
        <w:rPr>
          <w:rFonts w:ascii="Arial" w:eastAsia="Arial" w:hAnsi="Arial" w:cs="Arial"/>
          <w:i/>
          <w:color w:val="000000"/>
        </w:rPr>
        <w:t>las acciones de control.</w:t>
      </w:r>
    </w:p>
    <w:p w14:paraId="4A28227F" w14:textId="77777777" w:rsidR="00BA755D" w:rsidRDefault="00B64724">
      <w:pPr>
        <w:pStyle w:val="LO-normal"/>
        <w:numPr>
          <w:ilvl w:val="0"/>
          <w:numId w:val="5"/>
        </w:numPr>
        <w:pBdr>
          <w:top w:val="nil"/>
          <w:left w:val="nil"/>
          <w:bottom w:val="nil"/>
          <w:right w:val="nil"/>
          <w:between w:val="nil"/>
        </w:pBdr>
        <w:spacing w:before="280" w:after="280"/>
        <w:ind w:left="567"/>
        <w:jc w:val="both"/>
        <w:rPr>
          <w:rFonts w:ascii="Arial" w:eastAsia="Arial" w:hAnsi="Arial" w:cs="Arial"/>
          <w:color w:val="000000"/>
        </w:rPr>
      </w:pPr>
      <w:r>
        <w:rPr>
          <w:rFonts w:ascii="Arial" w:eastAsia="Arial" w:hAnsi="Arial" w:cs="Arial"/>
          <w:b/>
          <w:color w:val="000000"/>
        </w:rPr>
        <w:t>Resolución 661 de 2014</w:t>
      </w:r>
      <w:r>
        <w:rPr>
          <w:rFonts w:ascii="Arial" w:eastAsia="Arial" w:hAnsi="Arial" w:cs="Arial"/>
          <w:color w:val="000000"/>
        </w:rPr>
        <w:t xml:space="preserve"> </w:t>
      </w:r>
      <w:r>
        <w:rPr>
          <w:rFonts w:ascii="Arial" w:eastAsia="Arial" w:hAnsi="Arial" w:cs="Arial"/>
          <w:b/>
          <w:color w:val="000000"/>
        </w:rPr>
        <w:t>del Ministerio del Interior</w:t>
      </w:r>
      <w:r>
        <w:rPr>
          <w:rFonts w:ascii="Arial" w:eastAsia="Arial" w:hAnsi="Arial" w:cs="Arial"/>
          <w:color w:val="000000"/>
        </w:rPr>
        <w:t>, “</w:t>
      </w:r>
      <w:r>
        <w:rPr>
          <w:rFonts w:ascii="Arial" w:eastAsia="Arial" w:hAnsi="Arial" w:cs="Arial"/>
          <w:i/>
          <w:color w:val="000000"/>
        </w:rPr>
        <w:t>Por la cual se adopta el Reglamento Administrativo, Operativo, Técnico y Académico de los Bomberos de Colombia”.</w:t>
      </w:r>
    </w:p>
    <w:p w14:paraId="00C03935" w14:textId="5C1783B1" w:rsidR="00BA755D" w:rsidRDefault="00B64724">
      <w:pPr>
        <w:pStyle w:val="LO-normal"/>
        <w:pBdr>
          <w:top w:val="nil"/>
          <w:left w:val="nil"/>
          <w:bottom w:val="nil"/>
          <w:right w:val="nil"/>
          <w:between w:val="nil"/>
        </w:pBdr>
        <w:ind w:left="567"/>
        <w:jc w:val="both"/>
        <w:rPr>
          <w:rFonts w:ascii="Arial" w:eastAsia="Arial" w:hAnsi="Arial" w:cs="Arial"/>
          <w:i/>
          <w:color w:val="000000"/>
          <w:highlight w:val="white"/>
        </w:rPr>
      </w:pPr>
      <w:r>
        <w:rPr>
          <w:rFonts w:ascii="Arial" w:eastAsia="Arial" w:hAnsi="Arial" w:cs="Arial"/>
          <w:b/>
          <w:i/>
          <w:color w:val="000000"/>
          <w:highlight w:val="white"/>
        </w:rPr>
        <w:t>Artículo</w:t>
      </w:r>
      <w:r>
        <w:rPr>
          <w:rFonts w:ascii="Arial" w:eastAsia="Arial" w:hAnsi="Arial" w:cs="Arial"/>
          <w:i/>
          <w:color w:val="000000"/>
          <w:highlight w:val="white"/>
        </w:rPr>
        <w:t xml:space="preserve"> </w:t>
      </w:r>
      <w:r>
        <w:rPr>
          <w:rFonts w:ascii="Arial" w:eastAsia="Arial" w:hAnsi="Arial" w:cs="Arial"/>
          <w:b/>
          <w:i/>
          <w:color w:val="000000"/>
          <w:highlight w:val="white"/>
        </w:rPr>
        <w:t>203. Definición</w:t>
      </w:r>
      <w:r>
        <w:rPr>
          <w:rFonts w:ascii="Arial" w:eastAsia="Arial" w:hAnsi="Arial" w:cs="Arial"/>
          <w:i/>
          <w:color w:val="000000"/>
          <w:highlight w:val="white"/>
        </w:rPr>
        <w:t xml:space="preserve">. La visita técnica de inspección ocular de seguridad es una actividad que debe realizar un cuerpo de bomberos dentro de su jurisdicción, al interior de cada establecimiento de comercio, en el que se desarrolle una actividad de índole comercial en el territorio nacional incluido aquellos en los que no se tengan avisos y tableros. Con el objeto de identificar los riesgos conexos a incendios y seguridad humana, que </w:t>
      </w:r>
      <w:r w:rsidR="00F85609">
        <w:rPr>
          <w:rFonts w:ascii="Arial" w:eastAsia="Arial" w:hAnsi="Arial" w:cs="Arial"/>
          <w:i/>
          <w:color w:val="000000"/>
          <w:highlight w:val="white"/>
        </w:rPr>
        <w:t>dicho establecimiento pueda</w:t>
      </w:r>
      <w:r>
        <w:rPr>
          <w:rFonts w:ascii="Arial" w:eastAsia="Arial" w:hAnsi="Arial" w:cs="Arial"/>
          <w:i/>
          <w:color w:val="000000"/>
          <w:highlight w:val="white"/>
        </w:rPr>
        <w:t xml:space="preserve"> inducir al entorno o la comunidad en general, cuyo efecto dará lugar a un concepto técnico de bomberos emitido mediante certificado.</w:t>
      </w:r>
    </w:p>
    <w:p w14:paraId="695F5C46" w14:textId="77777777" w:rsidR="00BA755D" w:rsidRDefault="00BA755D">
      <w:pPr>
        <w:pStyle w:val="LO-normal"/>
        <w:pBdr>
          <w:top w:val="nil"/>
          <w:left w:val="nil"/>
          <w:bottom w:val="nil"/>
          <w:right w:val="nil"/>
          <w:between w:val="nil"/>
        </w:pBdr>
        <w:ind w:left="567"/>
        <w:jc w:val="both"/>
        <w:rPr>
          <w:rFonts w:ascii="Arial" w:eastAsia="Arial" w:hAnsi="Arial" w:cs="Arial"/>
          <w:i/>
          <w:color w:val="000000"/>
          <w:highlight w:val="white"/>
        </w:rPr>
      </w:pPr>
    </w:p>
    <w:p w14:paraId="0A63E837" w14:textId="264E6D38" w:rsidR="00BA755D" w:rsidRDefault="00B64724">
      <w:pPr>
        <w:pStyle w:val="LO-normal"/>
        <w:pBdr>
          <w:top w:val="nil"/>
          <w:left w:val="nil"/>
          <w:bottom w:val="nil"/>
          <w:right w:val="nil"/>
          <w:between w:val="nil"/>
        </w:pBdr>
        <w:ind w:left="567"/>
        <w:jc w:val="both"/>
        <w:rPr>
          <w:rFonts w:ascii="Arial" w:eastAsia="Arial" w:hAnsi="Arial" w:cs="Arial"/>
          <w:i/>
          <w:color w:val="000000"/>
          <w:highlight w:val="white"/>
        </w:rPr>
      </w:pPr>
      <w:r>
        <w:rPr>
          <w:rFonts w:ascii="Arial" w:eastAsia="Arial" w:hAnsi="Arial" w:cs="Arial"/>
          <w:b/>
          <w:i/>
          <w:color w:val="000000"/>
          <w:highlight w:val="white"/>
        </w:rPr>
        <w:t>Artículo 213.</w:t>
      </w:r>
      <w:r>
        <w:rPr>
          <w:rFonts w:ascii="Arial" w:eastAsia="Arial" w:hAnsi="Arial" w:cs="Arial"/>
          <w:i/>
          <w:color w:val="000000"/>
          <w:highlight w:val="white"/>
        </w:rPr>
        <w:t xml:space="preserve"> El Cuerpo de Bomberos expedirá un Certificado de Inspección a las edificaciones públicas y privadas y establecimientos públicos de comercio e industriales que cumplan con las condiciones de Seguridad Humana y Protección Contra incendio, este Certificado contará con una vigencia no mayor a un (1) año para todos los objetos. Así mismo, si las edificaciones públicas y privadas y establecimientos públicos de comercio e industriales </w:t>
      </w:r>
      <w:r w:rsidR="00F85609">
        <w:rPr>
          <w:rFonts w:ascii="Arial" w:eastAsia="Arial" w:hAnsi="Arial" w:cs="Arial"/>
          <w:i/>
          <w:color w:val="000000"/>
          <w:highlight w:val="white"/>
        </w:rPr>
        <w:t>realizan</w:t>
      </w:r>
      <w:r>
        <w:rPr>
          <w:rFonts w:ascii="Arial" w:eastAsia="Arial" w:hAnsi="Arial" w:cs="Arial"/>
          <w:i/>
          <w:color w:val="000000"/>
          <w:highlight w:val="white"/>
        </w:rPr>
        <w:t xml:space="preserve"> remodelaciones, ampliaciones, modificaciones u otros que implique variación en la parte arquitectónica, invalida el Certificado actual y deberá solicitar inmediatamente una nueva inspección para expedir el nuevo Certificado de Seguridad Humana y Protección Contra incendio.</w:t>
      </w:r>
    </w:p>
    <w:p w14:paraId="35D02B72" w14:textId="77777777" w:rsidR="00BA755D" w:rsidRDefault="00BA755D">
      <w:pPr>
        <w:pStyle w:val="LO-normal"/>
        <w:pBdr>
          <w:top w:val="nil"/>
          <w:left w:val="nil"/>
          <w:bottom w:val="nil"/>
          <w:right w:val="nil"/>
          <w:between w:val="nil"/>
        </w:pBdr>
        <w:ind w:left="567"/>
        <w:jc w:val="both"/>
        <w:rPr>
          <w:rFonts w:ascii="Arial" w:eastAsia="Arial" w:hAnsi="Arial" w:cs="Arial"/>
          <w:i/>
          <w:color w:val="000000"/>
          <w:highlight w:val="white"/>
        </w:rPr>
      </w:pPr>
    </w:p>
    <w:p w14:paraId="0E1F875D" w14:textId="77777777" w:rsidR="00BA755D" w:rsidRDefault="00B64724">
      <w:pPr>
        <w:pStyle w:val="LO-normal"/>
        <w:pBdr>
          <w:top w:val="nil"/>
          <w:left w:val="nil"/>
          <w:bottom w:val="nil"/>
          <w:right w:val="nil"/>
          <w:between w:val="nil"/>
        </w:pBdr>
        <w:ind w:left="567"/>
        <w:jc w:val="both"/>
        <w:rPr>
          <w:rFonts w:ascii="Arial" w:eastAsia="Arial" w:hAnsi="Arial" w:cs="Arial"/>
          <w:i/>
          <w:color w:val="000000"/>
          <w:highlight w:val="white"/>
        </w:rPr>
      </w:pPr>
      <w:r>
        <w:rPr>
          <w:rFonts w:ascii="Arial" w:eastAsia="Arial" w:hAnsi="Arial" w:cs="Arial"/>
          <w:b/>
          <w:i/>
          <w:color w:val="000000"/>
          <w:highlight w:val="white"/>
        </w:rPr>
        <w:t>Artículo 216. Tarifas</w:t>
      </w:r>
      <w:r>
        <w:rPr>
          <w:rFonts w:ascii="Arial" w:eastAsia="Arial" w:hAnsi="Arial" w:cs="Arial"/>
          <w:i/>
          <w:color w:val="000000"/>
          <w:highlight w:val="white"/>
        </w:rPr>
        <w:t>. El cobro de las tarifas de las inspecciones realizadas por el Cuerpo de Bomberos se destinará a cubrir los gastos que demanden la prestación del servicio de inspección de las edificaciones públicas y privadas y establecimientos públicos de comercio e industriales de los Sistemas de Protección Contra incendio y Seguridad Humana.</w:t>
      </w:r>
    </w:p>
    <w:p w14:paraId="6A98B12E" w14:textId="6FC0B8A4" w:rsidR="00BA755D" w:rsidRDefault="00B64724">
      <w:pPr>
        <w:pStyle w:val="LO-normal"/>
        <w:numPr>
          <w:ilvl w:val="0"/>
          <w:numId w:val="5"/>
        </w:numPr>
        <w:pBdr>
          <w:top w:val="nil"/>
          <w:left w:val="nil"/>
          <w:bottom w:val="nil"/>
          <w:right w:val="nil"/>
          <w:between w:val="nil"/>
        </w:pBdr>
        <w:spacing w:before="280" w:after="280"/>
        <w:jc w:val="both"/>
        <w:rPr>
          <w:rFonts w:ascii="Arial" w:eastAsia="Arial" w:hAnsi="Arial" w:cs="Arial"/>
          <w:color w:val="000000"/>
          <w:highlight w:val="white"/>
        </w:rPr>
      </w:pPr>
      <w:r>
        <w:rPr>
          <w:rFonts w:ascii="Arial" w:eastAsia="Arial" w:hAnsi="Arial" w:cs="Arial"/>
          <w:b/>
          <w:color w:val="000000"/>
          <w:highlight w:val="white"/>
        </w:rPr>
        <w:t>El</w:t>
      </w:r>
      <w:r>
        <w:rPr>
          <w:rFonts w:ascii="Arial" w:eastAsia="Arial" w:hAnsi="Arial" w:cs="Arial"/>
          <w:color w:val="000000"/>
          <w:highlight w:val="white"/>
        </w:rPr>
        <w:t xml:space="preserve"> </w:t>
      </w:r>
      <w:r>
        <w:rPr>
          <w:rFonts w:ascii="Arial" w:eastAsia="Arial" w:hAnsi="Arial" w:cs="Arial"/>
          <w:b/>
          <w:color w:val="000000"/>
          <w:highlight w:val="white"/>
        </w:rPr>
        <w:t xml:space="preserve">Reglamento Colombiano de Construcción Sismo Resistente NSR10 </w:t>
      </w:r>
      <w:r>
        <w:rPr>
          <w:rFonts w:ascii="Arial" w:eastAsia="Arial" w:hAnsi="Arial" w:cs="Arial"/>
          <w:color w:val="000000"/>
          <w:highlight w:val="white"/>
        </w:rPr>
        <w:t xml:space="preserve">en su título J: Requisitos de Protección Contra Incendio en Edificaciones y su título K: Requisitos Complementarios, despliega los requisitos mínimos que toda edificación deberá cumplir para la protección contra incendio </w:t>
      </w:r>
      <w:r w:rsidR="00F85609">
        <w:rPr>
          <w:rFonts w:ascii="Arial" w:eastAsia="Arial" w:hAnsi="Arial" w:cs="Arial"/>
          <w:color w:val="000000"/>
          <w:highlight w:val="white"/>
        </w:rPr>
        <w:t>de acuerdo con</w:t>
      </w:r>
      <w:r>
        <w:rPr>
          <w:rFonts w:ascii="Arial" w:eastAsia="Arial" w:hAnsi="Arial" w:cs="Arial"/>
          <w:color w:val="000000"/>
          <w:highlight w:val="white"/>
        </w:rPr>
        <w:t xml:space="preserve"> su uso y grupo de ocupación.</w:t>
      </w:r>
    </w:p>
    <w:p w14:paraId="7ED22CF7" w14:textId="77777777" w:rsidR="00BA755D" w:rsidRDefault="00B64724">
      <w:pPr>
        <w:pStyle w:val="LO-normal"/>
        <w:pBdr>
          <w:top w:val="nil"/>
          <w:left w:val="nil"/>
          <w:bottom w:val="nil"/>
          <w:right w:val="nil"/>
          <w:between w:val="nil"/>
        </w:pBdr>
        <w:spacing w:before="280" w:after="280"/>
        <w:jc w:val="both"/>
        <w:rPr>
          <w:rFonts w:ascii="Arial" w:eastAsia="Arial" w:hAnsi="Arial" w:cs="Arial"/>
          <w:color w:val="000000"/>
          <w:highlight w:val="white"/>
        </w:rPr>
      </w:pPr>
      <w:r>
        <w:rPr>
          <w:rFonts w:ascii="Arial" w:eastAsia="Arial" w:hAnsi="Arial" w:cs="Arial"/>
          <w:color w:val="000000"/>
          <w:highlight w:val="white"/>
        </w:rPr>
        <w:t>Del mismo modo existen una diversidad de normas urbanísticas y de las condiciones de diseño y construcción de las edificaciones y de redes, que deben posibilitar y facilitar la intervención de los servicios de extinción de incendios y proveer áreas de acceso adecuadas para el cuerpo de bomberos y salidas de emergencia.</w:t>
      </w:r>
    </w:p>
    <w:p w14:paraId="6013F837" w14:textId="77777777" w:rsidR="00BA755D" w:rsidRDefault="00B64724">
      <w:pPr>
        <w:pStyle w:val="LO-normal"/>
        <w:pBdr>
          <w:top w:val="nil"/>
          <w:left w:val="nil"/>
          <w:bottom w:val="nil"/>
          <w:right w:val="nil"/>
          <w:between w:val="nil"/>
        </w:pBdr>
        <w:shd w:val="clear" w:color="auto" w:fill="FFFFFF"/>
        <w:spacing w:before="280" w:after="280" w:line="276" w:lineRule="auto"/>
        <w:jc w:val="both"/>
        <w:rPr>
          <w:rFonts w:ascii="Arial" w:eastAsia="Arial" w:hAnsi="Arial" w:cs="Arial"/>
          <w:color w:val="000000"/>
          <w:highlight w:val="white"/>
        </w:rPr>
      </w:pPr>
      <w:r>
        <w:rPr>
          <w:rFonts w:ascii="Arial" w:eastAsia="Arial" w:hAnsi="Arial" w:cs="Arial"/>
          <w:b/>
          <w:i/>
          <w:color w:val="000000"/>
          <w:highlight w:val="white"/>
        </w:rPr>
        <w:t>En ese orden de ideas la National Fire Protection Association-NFPA, tiene una serie de normas como las NFPA 1971, NFPA 10, NFPA 101, NFPA 551 y NFPA 14, entre otras.</w:t>
      </w:r>
    </w:p>
    <w:p w14:paraId="792632D0" w14:textId="77777777" w:rsidR="00BA755D" w:rsidRDefault="00B64724">
      <w:pPr>
        <w:pStyle w:val="LO-normal"/>
        <w:shd w:val="clear" w:color="auto" w:fill="FFFFFF"/>
        <w:spacing w:line="276" w:lineRule="auto"/>
        <w:jc w:val="both"/>
        <w:rPr>
          <w:rFonts w:ascii="Arial" w:eastAsia="Arial" w:hAnsi="Arial" w:cs="Arial"/>
          <w:b/>
        </w:rPr>
      </w:pPr>
      <w:r>
        <w:rPr>
          <w:rFonts w:ascii="Arial" w:eastAsia="Arial" w:hAnsi="Arial" w:cs="Arial"/>
          <w:b/>
        </w:rPr>
        <w:t xml:space="preserve">4.3. De orden Distrital: </w:t>
      </w:r>
    </w:p>
    <w:p w14:paraId="497857CA" w14:textId="77777777" w:rsidR="00BA755D" w:rsidRDefault="00BA755D">
      <w:pPr>
        <w:pStyle w:val="LO-normal"/>
        <w:shd w:val="clear" w:color="auto" w:fill="FFFFFF"/>
        <w:spacing w:line="276" w:lineRule="auto"/>
        <w:jc w:val="both"/>
        <w:rPr>
          <w:rFonts w:ascii="Arial" w:eastAsia="Arial" w:hAnsi="Arial" w:cs="Arial"/>
          <w:b/>
        </w:rPr>
      </w:pPr>
    </w:p>
    <w:p w14:paraId="28CCAE89" w14:textId="77777777" w:rsidR="00BA755D" w:rsidRDefault="00B64724">
      <w:pPr>
        <w:pStyle w:val="LO-normal"/>
        <w:numPr>
          <w:ilvl w:val="0"/>
          <w:numId w:val="5"/>
        </w:numPr>
        <w:pBdr>
          <w:top w:val="nil"/>
          <w:left w:val="nil"/>
          <w:bottom w:val="nil"/>
          <w:right w:val="nil"/>
          <w:between w:val="nil"/>
        </w:pBdr>
        <w:ind w:left="714" w:hanging="357"/>
        <w:jc w:val="both"/>
        <w:rPr>
          <w:rFonts w:ascii="Arial" w:eastAsia="Arial" w:hAnsi="Arial" w:cs="Arial"/>
          <w:color w:val="000000"/>
          <w:highlight w:val="white"/>
        </w:rPr>
      </w:pPr>
      <w:r>
        <w:rPr>
          <w:rFonts w:ascii="Arial" w:eastAsia="Arial" w:hAnsi="Arial" w:cs="Arial"/>
          <w:b/>
          <w:color w:val="000000"/>
          <w:highlight w:val="white"/>
        </w:rPr>
        <w:t>Acuerdo 20 de 1995.</w:t>
      </w:r>
      <w:r>
        <w:rPr>
          <w:rFonts w:ascii="Arial" w:eastAsia="Arial" w:hAnsi="Arial" w:cs="Arial"/>
          <w:color w:val="000000"/>
          <w:highlight w:val="white"/>
        </w:rPr>
        <w:t xml:space="preserve"> </w:t>
      </w:r>
      <w:r>
        <w:rPr>
          <w:rFonts w:ascii="Arial" w:eastAsia="Arial" w:hAnsi="Arial" w:cs="Arial"/>
          <w:i/>
          <w:color w:val="000000"/>
          <w:highlight w:val="white"/>
        </w:rPr>
        <w:t>“Por el cual se adopta el Código de Construcción del Distrito Capital de Bogotá, se fijan sus políticas generales y su alcance, se establecen los mecanismos para su aplicación, se fijan plazos para su reglamentación prioritaria y se señalan mecanismos para su actualización y vigilancia.”</w:t>
      </w:r>
    </w:p>
    <w:p w14:paraId="4F50828E" w14:textId="77777777" w:rsidR="00BA755D" w:rsidRDefault="00BA755D">
      <w:pPr>
        <w:pStyle w:val="LO-normal"/>
        <w:pBdr>
          <w:top w:val="nil"/>
          <w:left w:val="nil"/>
          <w:bottom w:val="nil"/>
          <w:right w:val="nil"/>
          <w:between w:val="nil"/>
        </w:pBdr>
        <w:ind w:left="714"/>
        <w:jc w:val="both"/>
        <w:rPr>
          <w:rFonts w:ascii="Arial" w:eastAsia="Arial" w:hAnsi="Arial" w:cs="Arial"/>
          <w:color w:val="000000"/>
          <w:highlight w:val="white"/>
        </w:rPr>
      </w:pPr>
    </w:p>
    <w:p w14:paraId="5EAD51AF" w14:textId="77777777" w:rsidR="00BA755D" w:rsidRDefault="00B64724">
      <w:pPr>
        <w:pStyle w:val="LO-normal"/>
        <w:numPr>
          <w:ilvl w:val="0"/>
          <w:numId w:val="5"/>
        </w:numPr>
        <w:pBdr>
          <w:top w:val="nil"/>
          <w:left w:val="nil"/>
          <w:bottom w:val="nil"/>
          <w:right w:val="nil"/>
          <w:between w:val="nil"/>
        </w:pBdr>
        <w:ind w:left="714" w:hanging="357"/>
        <w:jc w:val="both"/>
        <w:rPr>
          <w:rFonts w:ascii="Arial" w:eastAsia="Arial" w:hAnsi="Arial" w:cs="Arial"/>
          <w:color w:val="000000"/>
          <w:highlight w:val="white"/>
        </w:rPr>
      </w:pPr>
      <w:r>
        <w:rPr>
          <w:rFonts w:ascii="Arial" w:eastAsia="Arial" w:hAnsi="Arial" w:cs="Arial"/>
          <w:b/>
          <w:color w:val="000000"/>
          <w:highlight w:val="white"/>
        </w:rPr>
        <w:t>Acuerdo 637 de 2016</w:t>
      </w:r>
      <w:r>
        <w:rPr>
          <w:rFonts w:ascii="Arial" w:eastAsia="Arial" w:hAnsi="Arial" w:cs="Arial"/>
          <w:color w:val="000000"/>
          <w:highlight w:val="white"/>
        </w:rPr>
        <w:t>.</w:t>
      </w:r>
      <w:r>
        <w:rPr>
          <w:rFonts w:ascii="Arial" w:eastAsia="Arial" w:hAnsi="Arial" w:cs="Arial"/>
          <w:color w:val="000000"/>
        </w:rPr>
        <w:t xml:space="preserve"> </w:t>
      </w:r>
      <w:r>
        <w:rPr>
          <w:rFonts w:ascii="Arial" w:eastAsia="Arial" w:hAnsi="Arial" w:cs="Arial"/>
          <w:i/>
          <w:color w:val="000000"/>
        </w:rPr>
        <w:t>“</w:t>
      </w:r>
      <w:r>
        <w:rPr>
          <w:rFonts w:ascii="Arial" w:eastAsia="Arial" w:hAnsi="Arial" w:cs="Arial"/>
          <w:i/>
          <w:color w:val="000000"/>
          <w:highlight w:val="white"/>
        </w:rPr>
        <w:t>Por el cual se crean el Sector Administrativo de Seguridad, Convivencia y Justicia, la Secretaría Distrital de Seguridad, Convivencia y Justicia, se modifica parcialmente el Acuerdo Distrital 257 de 2006 y se dictan otras disposiciones”.</w:t>
      </w:r>
    </w:p>
    <w:p w14:paraId="3A238715" w14:textId="77777777" w:rsidR="00BA755D" w:rsidRDefault="00BA755D">
      <w:pPr>
        <w:pStyle w:val="LO-normal"/>
        <w:pBdr>
          <w:top w:val="nil"/>
          <w:left w:val="nil"/>
          <w:bottom w:val="nil"/>
          <w:right w:val="nil"/>
          <w:between w:val="nil"/>
        </w:pBdr>
        <w:ind w:left="714"/>
        <w:jc w:val="both"/>
        <w:rPr>
          <w:rFonts w:ascii="Arial" w:eastAsia="Arial" w:hAnsi="Arial" w:cs="Arial"/>
          <w:color w:val="000000"/>
          <w:highlight w:val="white"/>
        </w:rPr>
      </w:pPr>
    </w:p>
    <w:p w14:paraId="000208AD" w14:textId="77777777" w:rsidR="00BA755D" w:rsidRDefault="00B64724">
      <w:pPr>
        <w:pStyle w:val="LO-normal"/>
        <w:numPr>
          <w:ilvl w:val="0"/>
          <w:numId w:val="5"/>
        </w:numPr>
        <w:pBdr>
          <w:top w:val="nil"/>
          <w:left w:val="nil"/>
          <w:bottom w:val="nil"/>
          <w:right w:val="nil"/>
          <w:between w:val="nil"/>
        </w:pBdr>
        <w:ind w:left="714" w:hanging="357"/>
        <w:jc w:val="both"/>
        <w:rPr>
          <w:rFonts w:ascii="Arial" w:eastAsia="Arial" w:hAnsi="Arial" w:cs="Arial"/>
          <w:color w:val="000000"/>
          <w:highlight w:val="white"/>
        </w:rPr>
      </w:pPr>
      <w:r>
        <w:rPr>
          <w:rFonts w:ascii="Arial" w:eastAsia="Arial" w:hAnsi="Arial" w:cs="Arial"/>
          <w:b/>
          <w:color w:val="000000"/>
          <w:highlight w:val="white"/>
        </w:rPr>
        <w:t>Acuerdo 581 de 2015.</w:t>
      </w:r>
      <w:r>
        <w:rPr>
          <w:rFonts w:ascii="Arial" w:eastAsia="Arial" w:hAnsi="Arial" w:cs="Arial"/>
          <w:color w:val="000000"/>
          <w:highlight w:val="white"/>
        </w:rPr>
        <w:t xml:space="preserve"> </w:t>
      </w:r>
      <w:r>
        <w:rPr>
          <w:rFonts w:ascii="Arial" w:eastAsia="Arial" w:hAnsi="Arial" w:cs="Arial"/>
          <w:i/>
          <w:color w:val="000000"/>
          <w:highlight w:val="white"/>
        </w:rPr>
        <w:t>"Por el cual se crea el sello seguro como reconocimiento al cumplimiento de normas y parámetros legales que contribuye a la calidad de los servicios de los establecimientos de comercio dedicados a la venta y consumo de bebidas alcohólicas en el distrito capital" Para hacerse merecedor al "SELLO SEGURO", el respectivo establecimiento deberá “Contar con un sistema contra incendios, el cual debe tener un (1) extintor multipropósito y un (1) dispersor contra incendios por cada 150 metros cuadrados.”</w:t>
      </w:r>
    </w:p>
    <w:p w14:paraId="6913725E" w14:textId="77777777" w:rsidR="00BA755D" w:rsidRDefault="00BA755D">
      <w:pPr>
        <w:pStyle w:val="LO-normal"/>
        <w:pBdr>
          <w:top w:val="nil"/>
          <w:left w:val="nil"/>
          <w:bottom w:val="nil"/>
          <w:right w:val="nil"/>
          <w:between w:val="nil"/>
        </w:pBdr>
        <w:ind w:left="714"/>
        <w:jc w:val="both"/>
        <w:rPr>
          <w:rFonts w:ascii="Arial" w:eastAsia="Arial" w:hAnsi="Arial" w:cs="Arial"/>
          <w:color w:val="000000"/>
          <w:highlight w:val="white"/>
        </w:rPr>
      </w:pPr>
    </w:p>
    <w:p w14:paraId="2A176FB8" w14:textId="77777777" w:rsidR="00BA755D" w:rsidRDefault="00B64724">
      <w:pPr>
        <w:pStyle w:val="LO-normal"/>
        <w:numPr>
          <w:ilvl w:val="0"/>
          <w:numId w:val="5"/>
        </w:numPr>
        <w:pBdr>
          <w:top w:val="nil"/>
          <w:left w:val="nil"/>
          <w:bottom w:val="nil"/>
          <w:right w:val="nil"/>
          <w:between w:val="nil"/>
        </w:pBdr>
        <w:ind w:left="714" w:hanging="357"/>
        <w:jc w:val="both"/>
        <w:rPr>
          <w:rFonts w:ascii="Arial" w:eastAsia="Arial" w:hAnsi="Arial" w:cs="Arial"/>
          <w:color w:val="000000"/>
          <w:highlight w:val="white"/>
        </w:rPr>
      </w:pPr>
      <w:r>
        <w:rPr>
          <w:rFonts w:ascii="Arial" w:eastAsia="Arial" w:hAnsi="Arial" w:cs="Arial"/>
          <w:b/>
          <w:color w:val="000000"/>
          <w:highlight w:val="white"/>
        </w:rPr>
        <w:t>Acuerdo 580 de 2015</w:t>
      </w:r>
      <w:r>
        <w:rPr>
          <w:rFonts w:ascii="Arial" w:eastAsia="Arial" w:hAnsi="Arial" w:cs="Arial"/>
          <w:color w:val="000000"/>
          <w:highlight w:val="white"/>
        </w:rPr>
        <w:t xml:space="preserve">. </w:t>
      </w:r>
      <w:r>
        <w:rPr>
          <w:rFonts w:ascii="Arial" w:eastAsia="Arial" w:hAnsi="Arial" w:cs="Arial"/>
          <w:i/>
          <w:color w:val="000000"/>
          <w:highlight w:val="white"/>
        </w:rPr>
        <w:t>“Por el cual se modifica el Capítulo 6° del Título IX del Acuerdo 079 de 2003 y se dictan otras disposiciones Obliga a todos los parqueaderos públicos de la ciudad a “Contar con los equipos necesarios y conservarlos en óptimas condiciones para la protección y control de incendios.”</w:t>
      </w:r>
    </w:p>
    <w:p w14:paraId="6025B8F0" w14:textId="77777777" w:rsidR="00BA755D" w:rsidRDefault="00B64724">
      <w:pPr>
        <w:pStyle w:val="LO-normal"/>
        <w:shd w:val="clear" w:color="auto" w:fill="FFFFFF"/>
        <w:spacing w:line="276" w:lineRule="auto"/>
        <w:jc w:val="both"/>
        <w:rPr>
          <w:rFonts w:ascii="Arial" w:eastAsia="Arial" w:hAnsi="Arial" w:cs="Arial"/>
          <w:b/>
          <w:i/>
        </w:rPr>
      </w:pPr>
      <w:r>
        <w:rPr>
          <w:rFonts w:ascii="Arial" w:eastAsia="Arial" w:hAnsi="Arial" w:cs="Arial"/>
          <w:b/>
          <w:i/>
        </w:rPr>
        <w:tab/>
      </w:r>
    </w:p>
    <w:p w14:paraId="2234B9E3" w14:textId="77777777" w:rsidR="00BA755D" w:rsidRDefault="00B64724">
      <w:pPr>
        <w:pStyle w:val="Ttulo3"/>
        <w:spacing w:line="276" w:lineRule="auto"/>
        <w:rPr>
          <w:rFonts w:ascii="Arial" w:eastAsia="Arial" w:hAnsi="Arial" w:cs="Arial"/>
          <w:b/>
          <w:color w:val="000000"/>
        </w:rPr>
      </w:pPr>
      <w:bookmarkStart w:id="6" w:name="_heading=h.1t3h5sf" w:colFirst="0" w:colLast="0"/>
      <w:bookmarkEnd w:id="6"/>
      <w:r>
        <w:rPr>
          <w:rFonts w:ascii="Arial" w:eastAsia="Arial" w:hAnsi="Arial" w:cs="Arial"/>
          <w:b/>
          <w:color w:val="000000"/>
        </w:rPr>
        <w:t>5. COMPETENCIA DEL CONCEJO DE BOGOTÁ</w:t>
      </w:r>
    </w:p>
    <w:p w14:paraId="5BCC061D" w14:textId="77777777" w:rsidR="00BA755D" w:rsidRDefault="00BA755D">
      <w:pPr>
        <w:pStyle w:val="LO-normal"/>
        <w:shd w:val="clear" w:color="auto" w:fill="FFFFFF"/>
        <w:spacing w:line="276" w:lineRule="auto"/>
        <w:jc w:val="both"/>
        <w:rPr>
          <w:rFonts w:ascii="Arial" w:eastAsia="Arial" w:hAnsi="Arial" w:cs="Arial"/>
          <w:b/>
        </w:rPr>
      </w:pPr>
    </w:p>
    <w:p w14:paraId="3D137FC5" w14:textId="77777777" w:rsidR="00BA755D" w:rsidRDefault="00B64724">
      <w:pPr>
        <w:pStyle w:val="LO-normal"/>
        <w:jc w:val="both"/>
        <w:rPr>
          <w:rFonts w:ascii="Arial" w:eastAsia="Arial" w:hAnsi="Arial" w:cs="Arial"/>
        </w:rPr>
      </w:pPr>
      <w:r>
        <w:rPr>
          <w:rFonts w:ascii="Arial" w:eastAsia="Arial" w:hAnsi="Arial" w:cs="Arial"/>
        </w:rPr>
        <w:t xml:space="preserve">El Concejo de Bogotá es competente para estudiar y aprobar el presente proyecto de acuerdo en virtud de lo establecido en la Constitución Política que en el artículo 313 establece que corresponde a los concejos </w:t>
      </w:r>
      <w:r>
        <w:rPr>
          <w:rFonts w:ascii="Arial" w:eastAsia="Arial" w:hAnsi="Arial" w:cs="Arial"/>
          <w:i/>
        </w:rPr>
        <w:t>“1. Reglamentar las funciones y la eficiente prestación de los servicios a cargo del municipio”</w:t>
      </w:r>
      <w:r>
        <w:rPr>
          <w:rFonts w:ascii="Arial" w:eastAsia="Arial" w:hAnsi="Arial" w:cs="Arial"/>
        </w:rPr>
        <w:t>.</w:t>
      </w:r>
    </w:p>
    <w:p w14:paraId="30197E5C" w14:textId="77777777" w:rsidR="00BA755D" w:rsidRDefault="00BA755D">
      <w:pPr>
        <w:pStyle w:val="LO-normal"/>
        <w:jc w:val="both"/>
        <w:rPr>
          <w:rFonts w:ascii="Arial" w:eastAsia="Arial" w:hAnsi="Arial" w:cs="Arial"/>
        </w:rPr>
      </w:pPr>
    </w:p>
    <w:p w14:paraId="5D11686F" w14:textId="77777777" w:rsidR="00BA755D" w:rsidRDefault="00B64724">
      <w:pPr>
        <w:pStyle w:val="LO-normal"/>
        <w:jc w:val="both"/>
        <w:rPr>
          <w:rFonts w:ascii="Arial" w:eastAsia="Arial" w:hAnsi="Arial" w:cs="Arial"/>
        </w:rPr>
      </w:pPr>
      <w:r>
        <w:rPr>
          <w:rFonts w:ascii="Arial" w:eastAsia="Arial" w:hAnsi="Arial" w:cs="Arial"/>
        </w:rPr>
        <w:t>También en el Estatuto Orgánico de Bogotá, Decreto Ley 1421 de 1993, así:</w:t>
      </w:r>
    </w:p>
    <w:p w14:paraId="7FE0626E" w14:textId="77777777" w:rsidR="00BA755D" w:rsidRDefault="00BA755D">
      <w:pPr>
        <w:pStyle w:val="LO-normal"/>
        <w:jc w:val="both"/>
        <w:rPr>
          <w:rFonts w:ascii="Arial" w:eastAsia="Arial" w:hAnsi="Arial" w:cs="Arial"/>
        </w:rPr>
      </w:pPr>
    </w:p>
    <w:p w14:paraId="5E2D1CAE" w14:textId="77777777" w:rsidR="00BA755D" w:rsidRDefault="00B64724">
      <w:pPr>
        <w:pStyle w:val="LO-normal"/>
        <w:ind w:left="720"/>
        <w:jc w:val="both"/>
        <w:rPr>
          <w:rFonts w:ascii="Arial" w:eastAsia="Arial" w:hAnsi="Arial" w:cs="Arial"/>
          <w:i/>
        </w:rPr>
      </w:pPr>
      <w:r>
        <w:rPr>
          <w:rFonts w:ascii="Arial" w:eastAsia="Arial" w:hAnsi="Arial" w:cs="Arial"/>
          <w:i/>
        </w:rPr>
        <w:t>“Artículo 8. Funciones generales. El Concejo es la suprema autoridad del Distrito Capital. En materia administrativa sus atribuciones son de carácter normativo. También le corresponde vigilar y controlar la gestión que cumplan las autoridades distritales.”</w:t>
      </w:r>
    </w:p>
    <w:p w14:paraId="03B22FD5" w14:textId="77777777" w:rsidR="00BA755D" w:rsidRDefault="00BA755D">
      <w:pPr>
        <w:pStyle w:val="LO-normal"/>
        <w:jc w:val="both"/>
        <w:rPr>
          <w:rFonts w:ascii="Arial" w:eastAsia="Arial" w:hAnsi="Arial" w:cs="Arial"/>
          <w:i/>
        </w:rPr>
      </w:pPr>
    </w:p>
    <w:p w14:paraId="1E798FD8" w14:textId="3C648663" w:rsidR="00BA755D" w:rsidRDefault="00B64724">
      <w:pPr>
        <w:pStyle w:val="LO-normal"/>
        <w:ind w:left="720"/>
        <w:jc w:val="both"/>
        <w:rPr>
          <w:rFonts w:ascii="Arial" w:eastAsia="Arial" w:hAnsi="Arial" w:cs="Arial"/>
          <w:i/>
        </w:rPr>
      </w:pPr>
      <w:r>
        <w:rPr>
          <w:rFonts w:ascii="Arial" w:eastAsia="Arial" w:hAnsi="Arial" w:cs="Arial"/>
          <w:i/>
        </w:rPr>
        <w:t xml:space="preserve">“Artículo 12. Atribuciones. Corresponde al Concejo Distrital, de conformidad con la Constitución y la ley: </w:t>
      </w:r>
    </w:p>
    <w:p w14:paraId="38901E7F" w14:textId="77777777" w:rsidR="00BA755D" w:rsidRDefault="00B64724">
      <w:pPr>
        <w:pStyle w:val="LO-normal"/>
        <w:numPr>
          <w:ilvl w:val="0"/>
          <w:numId w:val="1"/>
        </w:numPr>
        <w:jc w:val="both"/>
        <w:rPr>
          <w:rFonts w:ascii="Arial" w:eastAsia="Arial" w:hAnsi="Arial" w:cs="Arial"/>
          <w:i/>
          <w:color w:val="000000"/>
        </w:rPr>
      </w:pPr>
      <w:r>
        <w:rPr>
          <w:rFonts w:ascii="Arial" w:eastAsia="Arial" w:hAnsi="Arial" w:cs="Arial"/>
          <w:i/>
          <w:color w:val="000000"/>
        </w:rPr>
        <w:t>Dictar las normas necesarias para garantizar el adecuado cumplimiento de las funciones y la eficiente prestación de los servicios a cargo del Distrito. (…)”</w:t>
      </w:r>
    </w:p>
    <w:p w14:paraId="0BEEBD7D" w14:textId="77777777" w:rsidR="00BA755D" w:rsidRDefault="00BA755D">
      <w:pPr>
        <w:pStyle w:val="LO-normal"/>
        <w:ind w:left="1080"/>
        <w:jc w:val="both"/>
        <w:rPr>
          <w:rFonts w:ascii="Arial" w:eastAsia="Arial" w:hAnsi="Arial" w:cs="Arial"/>
          <w:i/>
          <w:color w:val="000000"/>
        </w:rPr>
      </w:pPr>
    </w:p>
    <w:p w14:paraId="60E82599" w14:textId="77777777" w:rsidR="00BA755D" w:rsidRDefault="00B64724">
      <w:pPr>
        <w:pStyle w:val="Ttulo4"/>
        <w:spacing w:before="0" w:after="0"/>
        <w:rPr>
          <w:rFonts w:ascii="Arial" w:eastAsia="Arial" w:hAnsi="Arial" w:cs="Arial"/>
          <w:sz w:val="24"/>
          <w:szCs w:val="24"/>
        </w:rPr>
      </w:pPr>
      <w:bookmarkStart w:id="7" w:name="_heading=h.4d34og8" w:colFirst="0" w:colLast="0"/>
      <w:bookmarkEnd w:id="7"/>
      <w:r>
        <w:rPr>
          <w:rFonts w:ascii="Arial" w:eastAsia="Arial" w:hAnsi="Arial" w:cs="Arial"/>
          <w:sz w:val="24"/>
          <w:szCs w:val="24"/>
        </w:rPr>
        <w:t>6. IMPACTO FISCAL</w:t>
      </w:r>
    </w:p>
    <w:p w14:paraId="44F73978" w14:textId="77777777" w:rsidR="00BA755D" w:rsidRDefault="00BA755D">
      <w:pPr>
        <w:pStyle w:val="LO-normal"/>
      </w:pPr>
    </w:p>
    <w:p w14:paraId="5B649718" w14:textId="77777777" w:rsidR="00BA755D" w:rsidRDefault="00B64724">
      <w:pPr>
        <w:pStyle w:val="LO-normal"/>
        <w:shd w:val="clear" w:color="auto" w:fill="FFFFFF"/>
        <w:jc w:val="both"/>
        <w:rPr>
          <w:rFonts w:ascii="Arial" w:eastAsia="Arial" w:hAnsi="Arial" w:cs="Arial"/>
          <w:highlight w:val="white"/>
        </w:rPr>
      </w:pPr>
      <w:r>
        <w:rPr>
          <w:rFonts w:ascii="Arial" w:eastAsia="Arial" w:hAnsi="Arial" w:cs="Arial"/>
          <w:highlight w:val="white"/>
        </w:rPr>
        <w:t>El proyecto de acuerdo, conforme a lo expresado el autor no genera impacto fiscal que implique una modificación en el Marco Fiscal De Mediano Plazo. El P.A. se ajusta a lo establecido por el artículo 7 de la Ley 819 de 2003 y las medidas que se adopten deben ser financiadas por las entidades pertinentes.</w:t>
      </w:r>
    </w:p>
    <w:p w14:paraId="3D056024" w14:textId="77777777" w:rsidR="00BA755D" w:rsidRDefault="00BA755D">
      <w:pPr>
        <w:pStyle w:val="LO-normal"/>
        <w:shd w:val="clear" w:color="auto" w:fill="FFFFFF"/>
        <w:jc w:val="both"/>
        <w:rPr>
          <w:rFonts w:ascii="Arial" w:eastAsia="Arial" w:hAnsi="Arial" w:cs="Arial"/>
          <w:highlight w:val="white"/>
        </w:rPr>
      </w:pPr>
    </w:p>
    <w:p w14:paraId="1246188D" w14:textId="77777777" w:rsidR="00BA755D" w:rsidRDefault="00B64724">
      <w:pPr>
        <w:pStyle w:val="LO-normal"/>
        <w:shd w:val="clear" w:color="auto" w:fill="FFFFFF"/>
        <w:jc w:val="both"/>
        <w:rPr>
          <w:rFonts w:ascii="Arial" w:eastAsia="Arial" w:hAnsi="Arial" w:cs="Arial"/>
          <w:highlight w:val="white"/>
        </w:rPr>
      </w:pPr>
      <w:r>
        <w:rPr>
          <w:rFonts w:ascii="Arial" w:eastAsia="Arial" w:hAnsi="Arial" w:cs="Arial"/>
          <w:highlight w:val="white"/>
        </w:rPr>
        <w:t xml:space="preserve">Pese a que el artículo 7 de la Ley 819 de 2003, establece que </w:t>
      </w:r>
      <w:r>
        <w:rPr>
          <w:rFonts w:ascii="Arial" w:eastAsia="Arial" w:hAnsi="Arial" w:cs="Arial"/>
          <w:i/>
          <w:highlight w:val="white"/>
        </w:rPr>
        <w:t>“(...) 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r>
        <w:rPr>
          <w:rFonts w:ascii="Arial" w:eastAsia="Arial" w:hAnsi="Arial" w:cs="Arial"/>
          <w:highlight w:val="white"/>
        </w:rPr>
        <w:t xml:space="preserve"> la Corte Constitucional, en Sentencia C-911 de 2007, expuso que el impacto fiscal de las normas no puede convertirse en obstáculo para que las corporaciones públicas ejerzan su función legislativa y normativa, afirmando:</w:t>
      </w:r>
    </w:p>
    <w:p w14:paraId="26289A0A" w14:textId="77777777" w:rsidR="00BA755D" w:rsidRDefault="00BA755D">
      <w:pPr>
        <w:pStyle w:val="LO-normal"/>
        <w:shd w:val="clear" w:color="auto" w:fill="FFFFFF"/>
        <w:jc w:val="both"/>
        <w:rPr>
          <w:rFonts w:ascii="Arial" w:eastAsia="Arial" w:hAnsi="Arial" w:cs="Arial"/>
          <w:highlight w:val="white"/>
        </w:rPr>
      </w:pPr>
    </w:p>
    <w:p w14:paraId="7EAA29AD" w14:textId="77777777" w:rsidR="00BA755D" w:rsidRDefault="00B64724">
      <w:pPr>
        <w:pStyle w:val="LO-normal"/>
        <w:shd w:val="clear" w:color="auto" w:fill="FFFFFF"/>
        <w:jc w:val="both"/>
        <w:rPr>
          <w:rFonts w:ascii="Arial" w:eastAsia="Arial" w:hAnsi="Arial" w:cs="Arial"/>
          <w:i/>
          <w:highlight w:val="white"/>
        </w:rPr>
      </w:pPr>
      <w:r>
        <w:rPr>
          <w:rFonts w:ascii="Arial" w:eastAsia="Arial" w:hAnsi="Arial" w:cs="Arial"/>
          <w:i/>
          <w:highlight w:val="white"/>
        </w:rPr>
        <w:t>“En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w:t>
      </w:r>
    </w:p>
    <w:p w14:paraId="610DCCF4" w14:textId="77777777" w:rsidR="00BA755D" w:rsidRDefault="00BA755D">
      <w:pPr>
        <w:pStyle w:val="LO-normal"/>
        <w:shd w:val="clear" w:color="auto" w:fill="FFFFFF"/>
        <w:jc w:val="both"/>
        <w:rPr>
          <w:rFonts w:ascii="Arial" w:eastAsia="Arial" w:hAnsi="Arial" w:cs="Arial"/>
          <w:highlight w:val="white"/>
        </w:rPr>
      </w:pPr>
    </w:p>
    <w:p w14:paraId="697C9743" w14:textId="77777777" w:rsidR="00BA755D" w:rsidRDefault="00B64724">
      <w:pPr>
        <w:pStyle w:val="LO-normal"/>
        <w:shd w:val="clear" w:color="auto" w:fill="FFFFFF"/>
        <w:jc w:val="both"/>
        <w:rPr>
          <w:rFonts w:ascii="Arial" w:eastAsia="Arial" w:hAnsi="Arial" w:cs="Arial"/>
          <w:i/>
          <w:highlight w:val="white"/>
        </w:rPr>
      </w:pPr>
      <w:r>
        <w:rPr>
          <w:rFonts w:ascii="Arial" w:eastAsia="Arial" w:hAnsi="Arial" w:cs="Arial"/>
          <w:i/>
          <w:highlight w:val="white"/>
        </w:rPr>
        <w:t xml:space="preserve">“(...) Precisamente, los obstáculos casi insuperables que se generarían para la actividad legislativa del Congreso de la República conducirían a concederle una forma de poder de veto al Ministro de Hacienda sobre las iniciativas de ley en el Parlamento. Es decir, el mencionado artículo debe interpretarse en el sentido de que </w:t>
      </w:r>
      <w:r>
        <w:rPr>
          <w:rFonts w:ascii="Arial" w:eastAsia="Arial" w:hAnsi="Arial" w:cs="Arial"/>
          <w:i/>
          <w:highlight w:val="white"/>
          <w:u w:val="single"/>
        </w:rPr>
        <w:t>su fin es obtener que las leyes que se dicten tengan en cuenta las realidades macroeconómicas, pero sin crear barreras insalvables en el ejercicio de la función legislativa ni crear un poder de veto legislativo en cabeza del Ministro de Hacienda”</w:t>
      </w:r>
      <w:r>
        <w:rPr>
          <w:rFonts w:ascii="Arial" w:eastAsia="Arial" w:hAnsi="Arial" w:cs="Arial"/>
          <w:i/>
          <w:highlight w:val="white"/>
        </w:rPr>
        <w:t xml:space="preserve"> (subrayado fuera del texto).</w:t>
      </w:r>
    </w:p>
    <w:p w14:paraId="6BB2A1BF" w14:textId="77777777" w:rsidR="00F85609" w:rsidRDefault="00F85609">
      <w:pPr>
        <w:pStyle w:val="LO-normal"/>
        <w:shd w:val="clear" w:color="auto" w:fill="FFFFFF"/>
        <w:jc w:val="both"/>
        <w:rPr>
          <w:rFonts w:ascii="Arial" w:eastAsia="Arial" w:hAnsi="Arial" w:cs="Arial"/>
          <w:i/>
          <w:highlight w:val="white"/>
        </w:rPr>
      </w:pPr>
    </w:p>
    <w:p w14:paraId="524499F5" w14:textId="77777777" w:rsidR="00BA755D" w:rsidRDefault="00B64724">
      <w:pPr>
        <w:pStyle w:val="Ttulo5"/>
        <w:spacing w:line="276" w:lineRule="auto"/>
        <w:rPr>
          <w:rFonts w:ascii="Arial" w:eastAsia="Arial" w:hAnsi="Arial" w:cs="Arial"/>
          <w:b/>
          <w:color w:val="000000"/>
        </w:rPr>
      </w:pPr>
      <w:bookmarkStart w:id="8" w:name="_heading=h.xrtzcmxm9hgy" w:colFirst="0" w:colLast="0"/>
      <w:bookmarkEnd w:id="8"/>
      <w:r>
        <w:rPr>
          <w:rFonts w:ascii="Arial" w:eastAsia="Arial" w:hAnsi="Arial" w:cs="Arial"/>
          <w:b/>
          <w:color w:val="000000"/>
        </w:rPr>
        <w:t>7. COMENTARIOS Y OBSERVACIONES DE LOS PONENTES</w:t>
      </w:r>
    </w:p>
    <w:p w14:paraId="2CD32180" w14:textId="77777777" w:rsidR="00BA755D" w:rsidRDefault="00BA755D">
      <w:pPr>
        <w:pStyle w:val="LO-normal"/>
      </w:pPr>
    </w:p>
    <w:p w14:paraId="3AB8E8A4" w14:textId="77777777" w:rsidR="00BA755D" w:rsidRDefault="00B64724">
      <w:pPr>
        <w:pStyle w:val="LO-normal"/>
        <w:spacing w:after="240"/>
        <w:jc w:val="both"/>
        <w:rPr>
          <w:rFonts w:ascii="Arial" w:eastAsia="Arial" w:hAnsi="Arial" w:cs="Arial"/>
        </w:rPr>
      </w:pPr>
      <w:r>
        <w:rPr>
          <w:rFonts w:ascii="Arial" w:eastAsia="Arial" w:hAnsi="Arial" w:cs="Arial"/>
          <w:b/>
        </w:rPr>
        <w:t>Frecuencia de incendios estructurales en Bogotá</w:t>
      </w:r>
      <w:r>
        <w:rPr>
          <w:rFonts w:ascii="Arial" w:eastAsia="Arial" w:hAnsi="Arial" w:cs="Arial"/>
          <w:b/>
        </w:rPr>
        <w:br/>
      </w:r>
      <w:r>
        <w:rPr>
          <w:rFonts w:ascii="Arial" w:eastAsia="Arial" w:hAnsi="Arial" w:cs="Arial"/>
          <w:b/>
        </w:rPr>
        <w:br/>
      </w:r>
      <w:r>
        <w:rPr>
          <w:rFonts w:ascii="Arial" w:eastAsia="Arial" w:hAnsi="Arial" w:cs="Arial"/>
        </w:rPr>
        <w:t>El Cuerpo Oficial de Bomberos de Bogotá, como parte del Sistema Distrital de Gestión del Riesgo y Cambio Climático, actúa como primer respondiente en emergencias e impulsa una transformación cultural para prevenir riesgos, según el Decreto 555 de 2011. Dado el alto impacto social y económico de los incendios estructurales, es crucial analizar su comportamiento y las zonas de mayor riesgo para implementar medidas correctivas y preventivas que reduzcan sus efectos en la población.</w:t>
      </w:r>
      <w:r>
        <w:rPr>
          <w:rFonts w:ascii="Arial" w:eastAsia="Arial" w:hAnsi="Arial" w:cs="Arial"/>
        </w:rPr>
        <w:br/>
        <w:t xml:space="preserve">Según un informe del Cuerpo Oficial de Bomberos de Bogotá, entre 2014 y 2019 se registraron 6.436 incendios estructurales en la ciudad. En la Tabla 1 se relacionan los incendios estructurales por cada localidad en el período de estudio. La localidad de Kennedy fue la más afectada, concentrando el 13,31% de estos incidentes. </w:t>
      </w:r>
    </w:p>
    <w:p w14:paraId="62C1BDCF" w14:textId="77777777" w:rsidR="00BA755D" w:rsidRDefault="00B64724">
      <w:pPr>
        <w:pStyle w:val="LO-normal"/>
        <w:jc w:val="center"/>
        <w:rPr>
          <w:rFonts w:ascii="Arial" w:eastAsia="Arial" w:hAnsi="Arial" w:cs="Arial"/>
        </w:rPr>
      </w:pPr>
      <w:r>
        <w:rPr>
          <w:rFonts w:ascii="Arial" w:eastAsia="Arial" w:hAnsi="Arial" w:cs="Arial"/>
          <w:b/>
        </w:rPr>
        <w:t>Tabla 1.</w:t>
      </w:r>
      <w:r>
        <w:rPr>
          <w:rFonts w:ascii="Arial" w:eastAsia="Arial" w:hAnsi="Arial" w:cs="Arial"/>
        </w:rPr>
        <w:t xml:space="preserve"> Ranking número de incendios estructurales 2014 - 2021.</w:t>
      </w:r>
    </w:p>
    <w:p w14:paraId="3D9B8D0F" w14:textId="77777777" w:rsidR="00BA755D" w:rsidRDefault="00BA755D">
      <w:pPr>
        <w:pStyle w:val="LO-normal"/>
        <w:jc w:val="center"/>
        <w:rPr>
          <w:rFonts w:ascii="Arial" w:eastAsia="Arial" w:hAnsi="Arial" w:cs="Arial"/>
        </w:rPr>
      </w:pPr>
    </w:p>
    <w:sdt>
      <w:sdtPr>
        <w:tag w:val="goog_rdk_0"/>
        <w:id w:val="-1891335715"/>
        <w:lock w:val="contentLocked"/>
      </w:sdtPr>
      <w:sdtEndPr/>
      <w:sdtContent>
        <w:tbl>
          <w:tblPr>
            <w:tblStyle w:val="a"/>
            <w:tblW w:w="5669"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34"/>
            <w:gridCol w:w="2835"/>
          </w:tblGrid>
          <w:tr w:rsidR="00BA755D" w14:paraId="01B5B163" w14:textId="77777777">
            <w:trPr>
              <w:cantSplit/>
              <w:jc w:val="center"/>
            </w:trPr>
            <w:tc>
              <w:tcPr>
                <w:tcW w:w="2834" w:type="dxa"/>
                <w:shd w:val="clear" w:color="auto" w:fill="auto"/>
                <w:tcMar>
                  <w:top w:w="-13" w:type="dxa"/>
                  <w:left w:w="-13" w:type="dxa"/>
                  <w:bottom w:w="-13" w:type="dxa"/>
                  <w:right w:w="-13" w:type="dxa"/>
                </w:tcMar>
              </w:tcPr>
              <w:p w14:paraId="137F50A5" w14:textId="77777777" w:rsidR="00BA755D" w:rsidRDefault="00B64724">
                <w:pPr>
                  <w:pStyle w:val="LO-normal"/>
                  <w:widowControl w:val="0"/>
                  <w:jc w:val="center"/>
                  <w:rPr>
                    <w:rFonts w:ascii="Arial" w:eastAsia="Arial" w:hAnsi="Arial" w:cs="Arial"/>
                    <w:b/>
                    <w:sz w:val="20"/>
                    <w:szCs w:val="20"/>
                  </w:rPr>
                </w:pPr>
                <w:r>
                  <w:rPr>
                    <w:rFonts w:ascii="Arial" w:eastAsia="Arial" w:hAnsi="Arial" w:cs="Arial"/>
                    <w:b/>
                    <w:sz w:val="20"/>
                    <w:szCs w:val="20"/>
                  </w:rPr>
                  <w:t>Localidad</w:t>
                </w:r>
              </w:p>
            </w:tc>
            <w:tc>
              <w:tcPr>
                <w:tcW w:w="2834" w:type="dxa"/>
                <w:shd w:val="clear" w:color="auto" w:fill="auto"/>
                <w:tcMar>
                  <w:top w:w="-13" w:type="dxa"/>
                  <w:left w:w="-13" w:type="dxa"/>
                  <w:bottom w:w="-13" w:type="dxa"/>
                  <w:right w:w="-13" w:type="dxa"/>
                </w:tcMar>
              </w:tcPr>
              <w:p w14:paraId="16457567" w14:textId="77777777" w:rsidR="00BA755D" w:rsidRDefault="00B64724">
                <w:pPr>
                  <w:pStyle w:val="LO-normal"/>
                  <w:widowControl w:val="0"/>
                  <w:jc w:val="center"/>
                  <w:rPr>
                    <w:rFonts w:ascii="Arial" w:eastAsia="Arial" w:hAnsi="Arial" w:cs="Arial"/>
                    <w:b/>
                    <w:sz w:val="20"/>
                    <w:szCs w:val="20"/>
                  </w:rPr>
                </w:pPr>
                <w:r>
                  <w:rPr>
                    <w:rFonts w:ascii="Arial" w:eastAsia="Arial" w:hAnsi="Arial" w:cs="Arial"/>
                    <w:b/>
                    <w:sz w:val="20"/>
                    <w:szCs w:val="20"/>
                  </w:rPr>
                  <w:t>Número de incendios</w:t>
                </w:r>
              </w:p>
            </w:tc>
          </w:tr>
          <w:tr w:rsidR="00BA755D" w14:paraId="6A2BD292" w14:textId="77777777">
            <w:trPr>
              <w:cantSplit/>
              <w:jc w:val="center"/>
            </w:trPr>
            <w:tc>
              <w:tcPr>
                <w:tcW w:w="2834" w:type="dxa"/>
                <w:shd w:val="clear" w:color="auto" w:fill="auto"/>
                <w:tcMar>
                  <w:top w:w="-13" w:type="dxa"/>
                  <w:left w:w="-13" w:type="dxa"/>
                  <w:bottom w:w="-13" w:type="dxa"/>
                  <w:right w:w="-13" w:type="dxa"/>
                </w:tcMar>
              </w:tcPr>
              <w:p w14:paraId="3262C296"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Kennedy</w:t>
                </w:r>
              </w:p>
            </w:tc>
            <w:tc>
              <w:tcPr>
                <w:tcW w:w="2834" w:type="dxa"/>
                <w:shd w:val="clear" w:color="auto" w:fill="auto"/>
                <w:tcMar>
                  <w:top w:w="-13" w:type="dxa"/>
                  <w:left w:w="-13" w:type="dxa"/>
                  <w:bottom w:w="-13" w:type="dxa"/>
                  <w:right w:w="-13" w:type="dxa"/>
                </w:tcMar>
              </w:tcPr>
              <w:p w14:paraId="11CFC100"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870</w:t>
                </w:r>
              </w:p>
            </w:tc>
          </w:tr>
          <w:tr w:rsidR="00BA755D" w14:paraId="0CCE63AA" w14:textId="77777777">
            <w:trPr>
              <w:cantSplit/>
              <w:jc w:val="center"/>
            </w:trPr>
            <w:tc>
              <w:tcPr>
                <w:tcW w:w="2834" w:type="dxa"/>
                <w:shd w:val="clear" w:color="auto" w:fill="auto"/>
                <w:tcMar>
                  <w:top w:w="-13" w:type="dxa"/>
                  <w:left w:w="-13" w:type="dxa"/>
                  <w:bottom w:w="-13" w:type="dxa"/>
                  <w:right w:w="-13" w:type="dxa"/>
                </w:tcMar>
              </w:tcPr>
              <w:p w14:paraId="2E3A265F"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Suba</w:t>
                </w:r>
              </w:p>
            </w:tc>
            <w:tc>
              <w:tcPr>
                <w:tcW w:w="2834" w:type="dxa"/>
                <w:shd w:val="clear" w:color="auto" w:fill="auto"/>
                <w:tcMar>
                  <w:top w:w="-13" w:type="dxa"/>
                  <w:left w:w="-13" w:type="dxa"/>
                  <w:bottom w:w="-13" w:type="dxa"/>
                  <w:right w:w="-13" w:type="dxa"/>
                </w:tcMar>
              </w:tcPr>
              <w:p w14:paraId="07DEE39B"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755</w:t>
                </w:r>
              </w:p>
            </w:tc>
          </w:tr>
          <w:tr w:rsidR="00BA755D" w14:paraId="2124887D" w14:textId="77777777">
            <w:trPr>
              <w:cantSplit/>
              <w:jc w:val="center"/>
            </w:trPr>
            <w:tc>
              <w:tcPr>
                <w:tcW w:w="2834" w:type="dxa"/>
                <w:shd w:val="clear" w:color="auto" w:fill="auto"/>
                <w:tcMar>
                  <w:top w:w="-13" w:type="dxa"/>
                  <w:left w:w="-13" w:type="dxa"/>
                  <w:bottom w:w="-13" w:type="dxa"/>
                  <w:right w:w="-13" w:type="dxa"/>
                </w:tcMar>
              </w:tcPr>
              <w:p w14:paraId="64D226A1"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Engativá</w:t>
                </w:r>
              </w:p>
            </w:tc>
            <w:tc>
              <w:tcPr>
                <w:tcW w:w="2834" w:type="dxa"/>
                <w:shd w:val="clear" w:color="auto" w:fill="auto"/>
                <w:tcMar>
                  <w:top w:w="-13" w:type="dxa"/>
                  <w:left w:w="-13" w:type="dxa"/>
                  <w:bottom w:w="-13" w:type="dxa"/>
                  <w:right w:w="-13" w:type="dxa"/>
                </w:tcMar>
              </w:tcPr>
              <w:p w14:paraId="6D20DF54"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657</w:t>
                </w:r>
              </w:p>
            </w:tc>
          </w:tr>
          <w:tr w:rsidR="00BA755D" w14:paraId="5E5A5772" w14:textId="77777777">
            <w:trPr>
              <w:cantSplit/>
              <w:jc w:val="center"/>
            </w:trPr>
            <w:tc>
              <w:tcPr>
                <w:tcW w:w="2834" w:type="dxa"/>
                <w:shd w:val="clear" w:color="auto" w:fill="auto"/>
                <w:tcMar>
                  <w:top w:w="-13" w:type="dxa"/>
                  <w:left w:w="-13" w:type="dxa"/>
                  <w:bottom w:w="-13" w:type="dxa"/>
                  <w:right w:w="-13" w:type="dxa"/>
                </w:tcMar>
              </w:tcPr>
              <w:p w14:paraId="1194D757"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Ciudad Bolívar</w:t>
                </w:r>
              </w:p>
            </w:tc>
            <w:tc>
              <w:tcPr>
                <w:tcW w:w="2834" w:type="dxa"/>
                <w:shd w:val="clear" w:color="auto" w:fill="auto"/>
                <w:tcMar>
                  <w:top w:w="-13" w:type="dxa"/>
                  <w:left w:w="-13" w:type="dxa"/>
                  <w:bottom w:w="-13" w:type="dxa"/>
                  <w:right w:w="-13" w:type="dxa"/>
                </w:tcMar>
              </w:tcPr>
              <w:p w14:paraId="1615D35D"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502</w:t>
                </w:r>
              </w:p>
            </w:tc>
          </w:tr>
          <w:tr w:rsidR="00BA755D" w14:paraId="55A52A98" w14:textId="77777777">
            <w:trPr>
              <w:cantSplit/>
              <w:jc w:val="center"/>
            </w:trPr>
            <w:tc>
              <w:tcPr>
                <w:tcW w:w="2834" w:type="dxa"/>
                <w:shd w:val="clear" w:color="auto" w:fill="auto"/>
                <w:tcMar>
                  <w:top w:w="-13" w:type="dxa"/>
                  <w:left w:w="-13" w:type="dxa"/>
                  <w:bottom w:w="-13" w:type="dxa"/>
                  <w:right w:w="-13" w:type="dxa"/>
                </w:tcMar>
              </w:tcPr>
              <w:p w14:paraId="4AD9A740"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Bosa</w:t>
                </w:r>
              </w:p>
            </w:tc>
            <w:tc>
              <w:tcPr>
                <w:tcW w:w="2834" w:type="dxa"/>
                <w:shd w:val="clear" w:color="auto" w:fill="auto"/>
                <w:tcMar>
                  <w:top w:w="-13" w:type="dxa"/>
                  <w:left w:w="-13" w:type="dxa"/>
                  <w:bottom w:w="-13" w:type="dxa"/>
                  <w:right w:w="-13" w:type="dxa"/>
                </w:tcMar>
              </w:tcPr>
              <w:p w14:paraId="1AF21F3D"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459</w:t>
                </w:r>
              </w:p>
            </w:tc>
          </w:tr>
          <w:tr w:rsidR="00BA755D" w14:paraId="560DD3F9" w14:textId="77777777">
            <w:trPr>
              <w:cantSplit/>
              <w:jc w:val="center"/>
            </w:trPr>
            <w:tc>
              <w:tcPr>
                <w:tcW w:w="2834" w:type="dxa"/>
                <w:shd w:val="clear" w:color="auto" w:fill="auto"/>
                <w:tcMar>
                  <w:top w:w="-13" w:type="dxa"/>
                  <w:left w:w="-13" w:type="dxa"/>
                  <w:bottom w:w="-13" w:type="dxa"/>
                  <w:right w:w="-13" w:type="dxa"/>
                </w:tcMar>
              </w:tcPr>
              <w:p w14:paraId="3C5FF557"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Usaquén</w:t>
                </w:r>
              </w:p>
            </w:tc>
            <w:tc>
              <w:tcPr>
                <w:tcW w:w="2834" w:type="dxa"/>
                <w:shd w:val="clear" w:color="auto" w:fill="auto"/>
                <w:tcMar>
                  <w:top w:w="-13" w:type="dxa"/>
                  <w:left w:w="-13" w:type="dxa"/>
                  <w:bottom w:w="-13" w:type="dxa"/>
                  <w:right w:w="-13" w:type="dxa"/>
                </w:tcMar>
              </w:tcPr>
              <w:p w14:paraId="4853E891"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439</w:t>
                </w:r>
              </w:p>
            </w:tc>
          </w:tr>
          <w:tr w:rsidR="00BA755D" w14:paraId="5189F323" w14:textId="77777777">
            <w:trPr>
              <w:cantSplit/>
              <w:jc w:val="center"/>
            </w:trPr>
            <w:tc>
              <w:tcPr>
                <w:tcW w:w="2834" w:type="dxa"/>
                <w:shd w:val="clear" w:color="auto" w:fill="auto"/>
                <w:tcMar>
                  <w:top w:w="-13" w:type="dxa"/>
                  <w:left w:w="-13" w:type="dxa"/>
                  <w:bottom w:w="-13" w:type="dxa"/>
                  <w:right w:w="-13" w:type="dxa"/>
                </w:tcMar>
              </w:tcPr>
              <w:p w14:paraId="6B89D45E"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 xml:space="preserve">Fontibón </w:t>
                </w:r>
              </w:p>
            </w:tc>
            <w:tc>
              <w:tcPr>
                <w:tcW w:w="2834" w:type="dxa"/>
                <w:shd w:val="clear" w:color="auto" w:fill="auto"/>
                <w:tcMar>
                  <w:top w:w="-13" w:type="dxa"/>
                  <w:left w:w="-13" w:type="dxa"/>
                  <w:bottom w:w="-13" w:type="dxa"/>
                  <w:right w:w="-13" w:type="dxa"/>
                </w:tcMar>
              </w:tcPr>
              <w:p w14:paraId="21A4FCFB"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346</w:t>
                </w:r>
              </w:p>
            </w:tc>
          </w:tr>
          <w:tr w:rsidR="00BA755D" w14:paraId="4AFB8FBB" w14:textId="77777777">
            <w:trPr>
              <w:cantSplit/>
              <w:jc w:val="center"/>
            </w:trPr>
            <w:tc>
              <w:tcPr>
                <w:tcW w:w="2834" w:type="dxa"/>
                <w:shd w:val="clear" w:color="auto" w:fill="auto"/>
                <w:tcMar>
                  <w:top w:w="-13" w:type="dxa"/>
                  <w:left w:w="-13" w:type="dxa"/>
                  <w:bottom w:w="-13" w:type="dxa"/>
                  <w:right w:w="-13" w:type="dxa"/>
                </w:tcMar>
              </w:tcPr>
              <w:p w14:paraId="34416A45"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Rafael Uribe Uribe</w:t>
                </w:r>
              </w:p>
            </w:tc>
            <w:tc>
              <w:tcPr>
                <w:tcW w:w="2834" w:type="dxa"/>
                <w:shd w:val="clear" w:color="auto" w:fill="auto"/>
                <w:tcMar>
                  <w:top w:w="-13" w:type="dxa"/>
                  <w:left w:w="-13" w:type="dxa"/>
                  <w:bottom w:w="-13" w:type="dxa"/>
                  <w:right w:w="-13" w:type="dxa"/>
                </w:tcMar>
              </w:tcPr>
              <w:p w14:paraId="4C96A9C4"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325</w:t>
                </w:r>
              </w:p>
            </w:tc>
          </w:tr>
          <w:tr w:rsidR="00BA755D" w14:paraId="31B11316" w14:textId="77777777">
            <w:trPr>
              <w:cantSplit/>
              <w:jc w:val="center"/>
            </w:trPr>
            <w:tc>
              <w:tcPr>
                <w:tcW w:w="2834" w:type="dxa"/>
                <w:shd w:val="clear" w:color="auto" w:fill="auto"/>
                <w:tcMar>
                  <w:top w:w="-13" w:type="dxa"/>
                  <w:left w:w="-13" w:type="dxa"/>
                  <w:bottom w:w="-13" w:type="dxa"/>
                  <w:right w:w="-13" w:type="dxa"/>
                </w:tcMar>
              </w:tcPr>
              <w:p w14:paraId="2FC5D65F"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San Cristóbal</w:t>
                </w:r>
              </w:p>
            </w:tc>
            <w:tc>
              <w:tcPr>
                <w:tcW w:w="2834" w:type="dxa"/>
                <w:shd w:val="clear" w:color="auto" w:fill="auto"/>
                <w:tcMar>
                  <w:top w:w="-13" w:type="dxa"/>
                  <w:left w:w="-13" w:type="dxa"/>
                  <w:bottom w:w="-13" w:type="dxa"/>
                  <w:right w:w="-13" w:type="dxa"/>
                </w:tcMar>
              </w:tcPr>
              <w:p w14:paraId="53BDC165"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315</w:t>
                </w:r>
              </w:p>
            </w:tc>
          </w:tr>
          <w:tr w:rsidR="00BA755D" w14:paraId="7A0A09E4" w14:textId="77777777">
            <w:trPr>
              <w:cantSplit/>
              <w:jc w:val="center"/>
            </w:trPr>
            <w:tc>
              <w:tcPr>
                <w:tcW w:w="2834" w:type="dxa"/>
                <w:shd w:val="clear" w:color="auto" w:fill="auto"/>
                <w:tcMar>
                  <w:top w:w="-13" w:type="dxa"/>
                  <w:left w:w="-13" w:type="dxa"/>
                  <w:bottom w:w="-13" w:type="dxa"/>
                  <w:right w:w="-13" w:type="dxa"/>
                </w:tcMar>
              </w:tcPr>
              <w:p w14:paraId="71361333"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Puente Aranda</w:t>
                </w:r>
              </w:p>
            </w:tc>
            <w:tc>
              <w:tcPr>
                <w:tcW w:w="2834" w:type="dxa"/>
                <w:shd w:val="clear" w:color="auto" w:fill="auto"/>
                <w:tcMar>
                  <w:top w:w="-13" w:type="dxa"/>
                  <w:left w:w="-13" w:type="dxa"/>
                  <w:bottom w:w="-13" w:type="dxa"/>
                  <w:right w:w="-13" w:type="dxa"/>
                </w:tcMar>
              </w:tcPr>
              <w:p w14:paraId="428B6E0F"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303</w:t>
                </w:r>
              </w:p>
            </w:tc>
          </w:tr>
          <w:tr w:rsidR="00BA755D" w14:paraId="38DE8943" w14:textId="77777777">
            <w:trPr>
              <w:cantSplit/>
              <w:jc w:val="center"/>
            </w:trPr>
            <w:tc>
              <w:tcPr>
                <w:tcW w:w="2834" w:type="dxa"/>
                <w:shd w:val="clear" w:color="auto" w:fill="auto"/>
                <w:tcMar>
                  <w:top w:w="-13" w:type="dxa"/>
                  <w:left w:w="-13" w:type="dxa"/>
                  <w:bottom w:w="-13" w:type="dxa"/>
                  <w:right w:w="-13" w:type="dxa"/>
                </w:tcMar>
              </w:tcPr>
              <w:p w14:paraId="6E2A64DD"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Usme</w:t>
                </w:r>
                <w:r>
                  <w:rPr>
                    <w:rFonts w:ascii="Arial" w:eastAsia="Arial" w:hAnsi="Arial" w:cs="Arial"/>
                    <w:sz w:val="20"/>
                    <w:szCs w:val="20"/>
                  </w:rPr>
                  <w:tab/>
                </w:r>
                <w:r>
                  <w:rPr>
                    <w:rFonts w:ascii="Arial" w:eastAsia="Arial" w:hAnsi="Arial" w:cs="Arial"/>
                    <w:sz w:val="20"/>
                    <w:szCs w:val="20"/>
                  </w:rPr>
                  <w:tab/>
                </w:r>
              </w:p>
            </w:tc>
            <w:tc>
              <w:tcPr>
                <w:tcW w:w="2834" w:type="dxa"/>
                <w:shd w:val="clear" w:color="auto" w:fill="auto"/>
                <w:tcMar>
                  <w:top w:w="-13" w:type="dxa"/>
                  <w:left w:w="-13" w:type="dxa"/>
                  <w:bottom w:w="-13" w:type="dxa"/>
                  <w:right w:w="-13" w:type="dxa"/>
                </w:tcMar>
              </w:tcPr>
              <w:p w14:paraId="6B6C67FF"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255</w:t>
                </w:r>
              </w:p>
            </w:tc>
          </w:tr>
          <w:tr w:rsidR="00BA755D" w14:paraId="0DAB0430" w14:textId="77777777">
            <w:trPr>
              <w:cantSplit/>
              <w:jc w:val="center"/>
            </w:trPr>
            <w:tc>
              <w:tcPr>
                <w:tcW w:w="2834" w:type="dxa"/>
                <w:shd w:val="clear" w:color="auto" w:fill="auto"/>
                <w:tcMar>
                  <w:top w:w="-13" w:type="dxa"/>
                  <w:left w:w="-13" w:type="dxa"/>
                  <w:bottom w:w="-13" w:type="dxa"/>
                  <w:right w:w="-13" w:type="dxa"/>
                </w:tcMar>
              </w:tcPr>
              <w:p w14:paraId="4C44B145"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Santa Fe</w:t>
                </w:r>
              </w:p>
            </w:tc>
            <w:tc>
              <w:tcPr>
                <w:tcW w:w="2834" w:type="dxa"/>
                <w:shd w:val="clear" w:color="auto" w:fill="auto"/>
                <w:tcMar>
                  <w:top w:w="-13" w:type="dxa"/>
                  <w:left w:w="-13" w:type="dxa"/>
                  <w:bottom w:w="-13" w:type="dxa"/>
                  <w:right w:w="-13" w:type="dxa"/>
                </w:tcMar>
              </w:tcPr>
              <w:p w14:paraId="02518D6B"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223</w:t>
                </w:r>
              </w:p>
            </w:tc>
          </w:tr>
          <w:tr w:rsidR="00BA755D" w14:paraId="1F050EEF" w14:textId="77777777">
            <w:trPr>
              <w:cantSplit/>
              <w:jc w:val="center"/>
            </w:trPr>
            <w:tc>
              <w:tcPr>
                <w:tcW w:w="2834" w:type="dxa"/>
                <w:shd w:val="clear" w:color="auto" w:fill="auto"/>
                <w:tcMar>
                  <w:top w:w="-13" w:type="dxa"/>
                  <w:left w:w="-13" w:type="dxa"/>
                  <w:bottom w:w="-13" w:type="dxa"/>
                  <w:right w:w="-13" w:type="dxa"/>
                </w:tcMar>
              </w:tcPr>
              <w:p w14:paraId="74CC4F66"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Barrios Unidos</w:t>
                </w:r>
              </w:p>
            </w:tc>
            <w:tc>
              <w:tcPr>
                <w:tcW w:w="2834" w:type="dxa"/>
                <w:shd w:val="clear" w:color="auto" w:fill="auto"/>
                <w:tcMar>
                  <w:top w:w="-13" w:type="dxa"/>
                  <w:left w:w="-13" w:type="dxa"/>
                  <w:bottom w:w="-13" w:type="dxa"/>
                  <w:right w:w="-13" w:type="dxa"/>
                </w:tcMar>
              </w:tcPr>
              <w:p w14:paraId="5D0EE21B"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218</w:t>
                </w:r>
              </w:p>
            </w:tc>
          </w:tr>
          <w:tr w:rsidR="00BA755D" w14:paraId="77A1D334" w14:textId="77777777">
            <w:trPr>
              <w:cantSplit/>
              <w:jc w:val="center"/>
            </w:trPr>
            <w:tc>
              <w:tcPr>
                <w:tcW w:w="2834" w:type="dxa"/>
                <w:shd w:val="clear" w:color="auto" w:fill="auto"/>
                <w:tcMar>
                  <w:top w:w="-13" w:type="dxa"/>
                  <w:left w:w="-13" w:type="dxa"/>
                  <w:bottom w:w="-13" w:type="dxa"/>
                  <w:right w:w="-13" w:type="dxa"/>
                </w:tcMar>
              </w:tcPr>
              <w:p w14:paraId="201ABA99"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Chapinero</w:t>
                </w:r>
              </w:p>
            </w:tc>
            <w:tc>
              <w:tcPr>
                <w:tcW w:w="2834" w:type="dxa"/>
                <w:shd w:val="clear" w:color="auto" w:fill="auto"/>
                <w:tcMar>
                  <w:top w:w="-13" w:type="dxa"/>
                  <w:left w:w="-13" w:type="dxa"/>
                  <w:bottom w:w="-13" w:type="dxa"/>
                  <w:right w:w="-13" w:type="dxa"/>
                </w:tcMar>
              </w:tcPr>
              <w:p w14:paraId="3C7535E8"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216</w:t>
                </w:r>
              </w:p>
            </w:tc>
          </w:tr>
          <w:tr w:rsidR="00BA755D" w14:paraId="70D0DED5" w14:textId="77777777">
            <w:trPr>
              <w:cantSplit/>
              <w:jc w:val="center"/>
            </w:trPr>
            <w:tc>
              <w:tcPr>
                <w:tcW w:w="2834" w:type="dxa"/>
                <w:shd w:val="clear" w:color="auto" w:fill="auto"/>
                <w:tcMar>
                  <w:top w:w="-13" w:type="dxa"/>
                  <w:left w:w="-13" w:type="dxa"/>
                  <w:bottom w:w="-13" w:type="dxa"/>
                  <w:right w:w="-13" w:type="dxa"/>
                </w:tcMar>
              </w:tcPr>
              <w:p w14:paraId="16306E80"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Los Martires</w:t>
                </w:r>
              </w:p>
            </w:tc>
            <w:tc>
              <w:tcPr>
                <w:tcW w:w="2834" w:type="dxa"/>
                <w:shd w:val="clear" w:color="auto" w:fill="auto"/>
                <w:tcMar>
                  <w:top w:w="-13" w:type="dxa"/>
                  <w:left w:w="-13" w:type="dxa"/>
                  <w:bottom w:w="-13" w:type="dxa"/>
                  <w:right w:w="-13" w:type="dxa"/>
                </w:tcMar>
              </w:tcPr>
              <w:p w14:paraId="5B0BDAAC"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216</w:t>
                </w:r>
              </w:p>
            </w:tc>
          </w:tr>
          <w:tr w:rsidR="00BA755D" w14:paraId="13C660F5" w14:textId="77777777">
            <w:trPr>
              <w:cantSplit/>
              <w:jc w:val="center"/>
            </w:trPr>
            <w:tc>
              <w:tcPr>
                <w:tcW w:w="2834" w:type="dxa"/>
                <w:shd w:val="clear" w:color="auto" w:fill="auto"/>
                <w:tcMar>
                  <w:top w:w="-13" w:type="dxa"/>
                  <w:left w:w="-13" w:type="dxa"/>
                  <w:bottom w:w="-13" w:type="dxa"/>
                  <w:right w:w="-13" w:type="dxa"/>
                </w:tcMar>
              </w:tcPr>
              <w:p w14:paraId="1801963B"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Teusaquillo</w:t>
                </w:r>
              </w:p>
            </w:tc>
            <w:tc>
              <w:tcPr>
                <w:tcW w:w="2834" w:type="dxa"/>
                <w:shd w:val="clear" w:color="auto" w:fill="auto"/>
                <w:tcMar>
                  <w:top w:w="-13" w:type="dxa"/>
                  <w:left w:w="-13" w:type="dxa"/>
                  <w:bottom w:w="-13" w:type="dxa"/>
                  <w:right w:w="-13" w:type="dxa"/>
                </w:tcMar>
              </w:tcPr>
              <w:p w14:paraId="0FED0ADC"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196</w:t>
                </w:r>
              </w:p>
            </w:tc>
          </w:tr>
          <w:tr w:rsidR="00BA755D" w14:paraId="15643384" w14:textId="77777777">
            <w:trPr>
              <w:cantSplit/>
              <w:jc w:val="center"/>
            </w:trPr>
            <w:tc>
              <w:tcPr>
                <w:tcW w:w="2834" w:type="dxa"/>
                <w:shd w:val="clear" w:color="auto" w:fill="auto"/>
                <w:tcMar>
                  <w:top w:w="-13" w:type="dxa"/>
                  <w:left w:w="-13" w:type="dxa"/>
                  <w:bottom w:w="-13" w:type="dxa"/>
                  <w:right w:w="-13" w:type="dxa"/>
                </w:tcMar>
              </w:tcPr>
              <w:p w14:paraId="3C8251F9"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Tunjuelito</w:t>
                </w:r>
              </w:p>
            </w:tc>
            <w:tc>
              <w:tcPr>
                <w:tcW w:w="2834" w:type="dxa"/>
                <w:shd w:val="clear" w:color="auto" w:fill="auto"/>
                <w:tcMar>
                  <w:top w:w="-13" w:type="dxa"/>
                  <w:left w:w="-13" w:type="dxa"/>
                  <w:bottom w:w="-13" w:type="dxa"/>
                  <w:right w:w="-13" w:type="dxa"/>
                </w:tcMar>
              </w:tcPr>
              <w:p w14:paraId="6E8F956C"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181</w:t>
                </w:r>
              </w:p>
            </w:tc>
          </w:tr>
          <w:tr w:rsidR="00BA755D" w14:paraId="217FC96A" w14:textId="77777777">
            <w:trPr>
              <w:cantSplit/>
              <w:jc w:val="center"/>
            </w:trPr>
            <w:tc>
              <w:tcPr>
                <w:tcW w:w="2834" w:type="dxa"/>
                <w:shd w:val="clear" w:color="auto" w:fill="auto"/>
                <w:tcMar>
                  <w:top w:w="-13" w:type="dxa"/>
                  <w:left w:w="-13" w:type="dxa"/>
                  <w:bottom w:w="-13" w:type="dxa"/>
                  <w:right w:w="-13" w:type="dxa"/>
                </w:tcMar>
              </w:tcPr>
              <w:p w14:paraId="40191C5B"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Antonio Nariño</w:t>
                </w:r>
              </w:p>
            </w:tc>
            <w:tc>
              <w:tcPr>
                <w:tcW w:w="2834" w:type="dxa"/>
                <w:shd w:val="clear" w:color="auto" w:fill="auto"/>
                <w:tcMar>
                  <w:top w:w="-13" w:type="dxa"/>
                  <w:left w:w="-13" w:type="dxa"/>
                  <w:bottom w:w="-13" w:type="dxa"/>
                  <w:right w:w="-13" w:type="dxa"/>
                </w:tcMar>
              </w:tcPr>
              <w:p w14:paraId="1E619AE3"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138</w:t>
                </w:r>
              </w:p>
            </w:tc>
          </w:tr>
          <w:tr w:rsidR="00BA755D" w14:paraId="01466A79" w14:textId="77777777">
            <w:trPr>
              <w:cantSplit/>
              <w:jc w:val="center"/>
            </w:trPr>
            <w:tc>
              <w:tcPr>
                <w:tcW w:w="2834" w:type="dxa"/>
                <w:shd w:val="clear" w:color="auto" w:fill="auto"/>
                <w:tcMar>
                  <w:top w:w="-13" w:type="dxa"/>
                  <w:left w:w="-13" w:type="dxa"/>
                  <w:bottom w:w="-13" w:type="dxa"/>
                  <w:right w:w="-13" w:type="dxa"/>
                </w:tcMar>
              </w:tcPr>
              <w:p w14:paraId="3E5E9DE8" w14:textId="77777777" w:rsidR="00BA755D" w:rsidRDefault="00B64724">
                <w:pPr>
                  <w:pStyle w:val="LO-normal"/>
                  <w:widowControl w:val="0"/>
                  <w:numPr>
                    <w:ilvl w:val="0"/>
                    <w:numId w:val="6"/>
                  </w:numPr>
                  <w:rPr>
                    <w:rFonts w:ascii="Arial" w:eastAsia="Arial" w:hAnsi="Arial" w:cs="Arial"/>
                    <w:sz w:val="20"/>
                    <w:szCs w:val="20"/>
                  </w:rPr>
                </w:pPr>
                <w:r>
                  <w:rPr>
                    <w:rFonts w:ascii="Arial" w:eastAsia="Arial" w:hAnsi="Arial" w:cs="Arial"/>
                    <w:sz w:val="20"/>
                    <w:szCs w:val="20"/>
                  </w:rPr>
                  <w:t>La Candelaria</w:t>
                </w:r>
              </w:p>
            </w:tc>
            <w:tc>
              <w:tcPr>
                <w:tcW w:w="2834" w:type="dxa"/>
                <w:shd w:val="clear" w:color="auto" w:fill="auto"/>
                <w:tcMar>
                  <w:top w:w="-13" w:type="dxa"/>
                  <w:left w:w="-13" w:type="dxa"/>
                  <w:bottom w:w="-13" w:type="dxa"/>
                  <w:right w:w="-13" w:type="dxa"/>
                </w:tcMar>
              </w:tcPr>
              <w:p w14:paraId="4EDCA22D" w14:textId="77777777" w:rsidR="00BA755D" w:rsidRDefault="00B64724">
                <w:pPr>
                  <w:pStyle w:val="LO-normal"/>
                  <w:widowControl w:val="0"/>
                  <w:jc w:val="center"/>
                  <w:rPr>
                    <w:rFonts w:ascii="Arial" w:eastAsia="Arial" w:hAnsi="Arial" w:cs="Arial"/>
                    <w:sz w:val="20"/>
                    <w:szCs w:val="20"/>
                  </w:rPr>
                </w:pPr>
                <w:r>
                  <w:rPr>
                    <w:rFonts w:ascii="Arial" w:eastAsia="Arial" w:hAnsi="Arial" w:cs="Arial"/>
                    <w:sz w:val="20"/>
                    <w:szCs w:val="20"/>
                  </w:rPr>
                  <w:t>62</w:t>
                </w:r>
              </w:p>
            </w:tc>
          </w:tr>
        </w:tbl>
      </w:sdtContent>
    </w:sdt>
    <w:p w14:paraId="056F5A6F" w14:textId="77777777" w:rsidR="00BA755D" w:rsidRDefault="00B64724">
      <w:pPr>
        <w:pStyle w:val="LO-normal"/>
        <w:spacing w:before="240" w:after="240"/>
        <w:jc w:val="center"/>
        <w:rPr>
          <w:rFonts w:ascii="Arial" w:eastAsia="Arial" w:hAnsi="Arial" w:cs="Arial"/>
        </w:rPr>
      </w:pPr>
      <w:r>
        <w:rPr>
          <w:rFonts w:ascii="Arial" w:eastAsia="Arial" w:hAnsi="Arial" w:cs="Arial"/>
          <w:b/>
        </w:rPr>
        <w:t>Fuente:</w:t>
      </w:r>
      <w:r>
        <w:rPr>
          <w:rFonts w:ascii="Arial" w:eastAsia="Arial" w:hAnsi="Arial" w:cs="Arial"/>
        </w:rPr>
        <w:t xml:space="preserve"> UAECOB (2022)</w:t>
      </w:r>
      <w:r>
        <w:rPr>
          <w:rFonts w:ascii="Arial" w:eastAsia="Arial" w:hAnsi="Arial" w:cs="Arial"/>
          <w:vertAlign w:val="superscript"/>
        </w:rPr>
        <w:footnoteReference w:id="2"/>
      </w:r>
      <w:r>
        <w:rPr>
          <w:rFonts w:ascii="Arial" w:eastAsia="Arial" w:hAnsi="Arial" w:cs="Arial"/>
        </w:rPr>
        <w:t>.</w:t>
      </w:r>
    </w:p>
    <w:p w14:paraId="1BED09D4" w14:textId="77777777" w:rsidR="00BA755D" w:rsidRDefault="00B64724">
      <w:pPr>
        <w:pStyle w:val="LO-normal"/>
        <w:spacing w:before="240" w:after="240"/>
        <w:jc w:val="both"/>
        <w:rPr>
          <w:rFonts w:ascii="Arial" w:eastAsia="Arial" w:hAnsi="Arial" w:cs="Arial"/>
          <w:b/>
        </w:rPr>
      </w:pPr>
      <w:r>
        <w:rPr>
          <w:rFonts w:ascii="Arial" w:eastAsia="Arial" w:hAnsi="Arial" w:cs="Arial"/>
          <w:b/>
        </w:rPr>
        <w:t>Causa de incendios estructurales en Bogotá</w:t>
      </w:r>
    </w:p>
    <w:p w14:paraId="6F9EBD26" w14:textId="77777777" w:rsidR="00BA755D" w:rsidRDefault="00B64724">
      <w:pPr>
        <w:pStyle w:val="LO-normal"/>
        <w:spacing w:before="240" w:after="240"/>
        <w:jc w:val="both"/>
        <w:rPr>
          <w:rFonts w:ascii="Arial" w:eastAsia="Arial" w:hAnsi="Arial" w:cs="Arial"/>
        </w:rPr>
      </w:pPr>
      <w:r>
        <w:rPr>
          <w:rFonts w:ascii="Arial" w:eastAsia="Arial" w:hAnsi="Arial" w:cs="Arial"/>
        </w:rPr>
        <w:t>El Cuerpo Oficial de Bomberos de Bogotá ha identificado que las principales causas de los incendios estructurales son de tipo accidental, muchas veces relacionadas con conexiones eléctricas inadecuadas y el uso de multitomas no certificadas. Estas prácticas incrementan el riesgo de cortocircuitos y, por ende, de incendios</w:t>
      </w:r>
      <w:r>
        <w:rPr>
          <w:rFonts w:ascii="Arial" w:eastAsia="Arial" w:hAnsi="Arial" w:cs="Arial"/>
          <w:vertAlign w:val="superscript"/>
        </w:rPr>
        <w:footnoteReference w:id="3"/>
      </w:r>
      <w:r>
        <w:rPr>
          <w:rFonts w:ascii="Arial" w:eastAsia="Arial" w:hAnsi="Arial" w:cs="Arial"/>
        </w:rPr>
        <w:t>. En la siguiente gráfica se evidencian las causas asociadas a la ocurrencia de incendios en la capital.</w:t>
      </w:r>
    </w:p>
    <w:p w14:paraId="37CB3F06" w14:textId="77777777" w:rsidR="00BA755D" w:rsidRDefault="00B64724">
      <w:pPr>
        <w:pStyle w:val="LO-normal"/>
        <w:spacing w:before="240" w:after="240"/>
        <w:jc w:val="center"/>
        <w:rPr>
          <w:rFonts w:ascii="Arial" w:eastAsia="Arial" w:hAnsi="Arial" w:cs="Arial"/>
        </w:rPr>
      </w:pPr>
      <w:r>
        <w:rPr>
          <w:rFonts w:ascii="Arial" w:eastAsia="Arial" w:hAnsi="Arial" w:cs="Arial"/>
          <w:b/>
        </w:rPr>
        <w:t>Gráfica 1.</w:t>
      </w:r>
      <w:r>
        <w:rPr>
          <w:rFonts w:ascii="Arial" w:eastAsia="Arial" w:hAnsi="Arial" w:cs="Arial"/>
        </w:rPr>
        <w:t xml:space="preserve"> Causas de incendios estructurales en Bogotá.</w:t>
      </w:r>
    </w:p>
    <w:p w14:paraId="0B3D8DBE" w14:textId="77777777" w:rsidR="00BA755D" w:rsidRDefault="00B64724">
      <w:pPr>
        <w:pStyle w:val="LO-normal"/>
        <w:spacing w:before="240" w:after="240"/>
        <w:jc w:val="center"/>
        <w:rPr>
          <w:rFonts w:ascii="Arial" w:eastAsia="Arial" w:hAnsi="Arial" w:cs="Arial"/>
          <w:sz w:val="22"/>
          <w:szCs w:val="22"/>
        </w:rPr>
      </w:pPr>
      <w:r>
        <w:rPr>
          <w:rFonts w:ascii="Arial" w:eastAsia="Arial" w:hAnsi="Arial" w:cs="Arial"/>
          <w:noProof/>
          <w:sz w:val="22"/>
          <w:szCs w:val="22"/>
          <w:lang w:val="es-CO" w:eastAsia="es-CO" w:bidi="ar-SA"/>
        </w:rPr>
        <w:drawing>
          <wp:inline distT="114300" distB="114300" distL="114300" distR="114300" wp14:anchorId="34474F91" wp14:editId="2EC44664">
            <wp:extent cx="4125278" cy="2549075"/>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4125278" cy="2549075"/>
                    </a:xfrm>
                    <a:prstGeom prst="rect">
                      <a:avLst/>
                    </a:prstGeom>
                    <a:ln/>
                  </pic:spPr>
                </pic:pic>
              </a:graphicData>
            </a:graphic>
          </wp:inline>
        </w:drawing>
      </w:r>
    </w:p>
    <w:p w14:paraId="53736D37" w14:textId="77777777" w:rsidR="00BA755D" w:rsidRDefault="00B64724">
      <w:pPr>
        <w:pStyle w:val="LO-normal"/>
        <w:spacing w:before="240" w:after="240"/>
        <w:jc w:val="center"/>
        <w:rPr>
          <w:rFonts w:ascii="Arial" w:eastAsia="Arial" w:hAnsi="Arial" w:cs="Arial"/>
          <w:sz w:val="20"/>
          <w:szCs w:val="20"/>
        </w:rPr>
      </w:pPr>
      <w:r>
        <w:rPr>
          <w:rFonts w:ascii="Arial" w:eastAsia="Arial" w:hAnsi="Arial" w:cs="Arial"/>
          <w:b/>
          <w:sz w:val="20"/>
          <w:szCs w:val="20"/>
        </w:rPr>
        <w:t xml:space="preserve">Fuente: </w:t>
      </w:r>
      <w:r>
        <w:rPr>
          <w:rFonts w:ascii="Arial" w:eastAsia="Arial" w:hAnsi="Arial" w:cs="Arial"/>
          <w:sz w:val="20"/>
          <w:szCs w:val="20"/>
        </w:rPr>
        <w:t>UAECOB (2022).</w:t>
      </w:r>
    </w:p>
    <w:p w14:paraId="0E31C3DB" w14:textId="77777777" w:rsidR="00BA755D" w:rsidRDefault="00B64724">
      <w:pPr>
        <w:pStyle w:val="LO-normal"/>
        <w:spacing w:before="240" w:after="240"/>
        <w:jc w:val="both"/>
        <w:rPr>
          <w:rFonts w:ascii="Arial" w:eastAsia="Arial" w:hAnsi="Arial" w:cs="Arial"/>
        </w:rPr>
      </w:pPr>
      <w:r>
        <w:rPr>
          <w:rFonts w:ascii="Arial" w:eastAsia="Arial" w:hAnsi="Arial" w:cs="Arial"/>
        </w:rPr>
        <w:t>Además, el Instituto Distrital de Gestión de Riesgos y Cambio Climático (IDIGER), en colaboración con otras entidades, ha evaluado los daños y necesidades tras emergencias, gestionando ayudas humanitarias para las familias afectadas. Estas intervenciones buscan mitigar el impacto social y económico de los incendios en la comunidad</w:t>
      </w:r>
      <w:r>
        <w:rPr>
          <w:rFonts w:ascii="Arial" w:eastAsia="Arial" w:hAnsi="Arial" w:cs="Arial"/>
          <w:vertAlign w:val="superscript"/>
        </w:rPr>
        <w:footnoteReference w:id="4"/>
      </w:r>
      <w:r>
        <w:rPr>
          <w:rFonts w:ascii="Arial" w:eastAsia="Arial" w:hAnsi="Arial" w:cs="Arial"/>
        </w:rPr>
        <w:t>.</w:t>
      </w:r>
    </w:p>
    <w:p w14:paraId="2633591D" w14:textId="77777777" w:rsidR="00BA755D" w:rsidRDefault="00B64724">
      <w:pPr>
        <w:pStyle w:val="LO-normal"/>
        <w:spacing w:before="240" w:after="240"/>
        <w:jc w:val="both"/>
        <w:rPr>
          <w:rFonts w:ascii="Arial" w:eastAsia="Arial" w:hAnsi="Arial" w:cs="Arial"/>
          <w:b/>
        </w:rPr>
      </w:pPr>
      <w:r>
        <w:rPr>
          <w:rFonts w:ascii="Arial" w:eastAsia="Arial" w:hAnsi="Arial" w:cs="Arial"/>
        </w:rPr>
        <w:t>La implementación del presente proyecto de acuerdo es una oportunidad para mejorar la seguridad en edificaciones y comercios, especialmente en localidades con alta incidencia de incendios como Kennedy, Suba y Engativá. Al abordar causas como fallas eléctricas y malas instalaciones, el proyecto fomenta la autogestión, la digitalización y la capacitación, reduciendo riesgos y el impacto social y económico de estos incidentes. Estas medidas fortalecerán la prevención y optimizarán la respuesta institucional, garantizando entornos más seguros en la ciudad.</w:t>
      </w:r>
    </w:p>
    <w:p w14:paraId="1AEE7BFD" w14:textId="3EF407FC" w:rsidR="00BA755D" w:rsidRDefault="00B64724">
      <w:pPr>
        <w:pStyle w:val="LO-normal"/>
        <w:jc w:val="both"/>
        <w:rPr>
          <w:rFonts w:ascii="Arial" w:eastAsia="Arial" w:hAnsi="Arial" w:cs="Arial"/>
        </w:rPr>
      </w:pPr>
      <w:r>
        <w:rPr>
          <w:rFonts w:ascii="Arial" w:eastAsia="Arial" w:hAnsi="Arial" w:cs="Arial"/>
        </w:rPr>
        <w:t>Como concejales, respaldamos la relevancia de promover e impulsar acciones de prevención que tiendan a dar lineamiento y directrices que mitiguen los riesgos que puedan tener las infraestructuras de establecimientos comerciales y edificaciones de la ciudad  mediante la realización de las revisiones de los sistemas de protección contra incendios por parte de la  Unidad Administrativa Especial del Cuerpo Oficial de Bomberos, en el marco de sus funciones y competencias.</w:t>
      </w:r>
    </w:p>
    <w:p w14:paraId="4A175334" w14:textId="77777777" w:rsidR="00BA755D" w:rsidRDefault="00BA755D">
      <w:pPr>
        <w:pStyle w:val="LO-normal"/>
        <w:jc w:val="both"/>
        <w:rPr>
          <w:rFonts w:ascii="Arial" w:eastAsia="Arial" w:hAnsi="Arial" w:cs="Arial"/>
        </w:rPr>
      </w:pPr>
    </w:p>
    <w:p w14:paraId="7BDFD7DD" w14:textId="77777777" w:rsidR="00BA755D" w:rsidRDefault="00B64724">
      <w:pPr>
        <w:pStyle w:val="LO-normal"/>
        <w:jc w:val="both"/>
      </w:pPr>
      <w:r>
        <w:rPr>
          <w:rFonts w:ascii="Arial" w:eastAsia="Arial" w:hAnsi="Arial" w:cs="Arial"/>
        </w:rPr>
        <w:t xml:space="preserve">El proyecto de acuerdo demuestra una visión proactiva y necesaria para fortalecer la seguridad contra incendios en Bogotá. Los artículos propuestos abordan aspectos clave como la revisión de sistemas de protección, la capacitación y la implementación de herramientas tecnológicas para la autogestión y virtualización de procesos, entre otros. </w:t>
      </w:r>
    </w:p>
    <w:p w14:paraId="556941A7" w14:textId="77777777" w:rsidR="00BA755D" w:rsidRDefault="00BA755D">
      <w:pPr>
        <w:pStyle w:val="LO-normal"/>
        <w:jc w:val="both"/>
        <w:rPr>
          <w:rFonts w:ascii="Arial" w:eastAsia="Arial" w:hAnsi="Arial" w:cs="Arial"/>
        </w:rPr>
      </w:pPr>
    </w:p>
    <w:p w14:paraId="420893FC" w14:textId="77777777" w:rsidR="00BA755D" w:rsidRDefault="00B64724">
      <w:pPr>
        <w:pStyle w:val="LO-normal"/>
        <w:jc w:val="both"/>
      </w:pPr>
      <w:r>
        <w:rPr>
          <w:rFonts w:ascii="Arial" w:eastAsia="Arial" w:hAnsi="Arial" w:cs="Arial"/>
        </w:rPr>
        <w:t>El objeto del acuerdo es pertinente y se alinea con la creciente preocupación por la seguridad humana y la protección contra incendios, especialmente en un contexto urbano como Bogotá, donde la densidad de edificaciones y la diversidad de actividades aumentan los riesgos. La Ley 1575 de 2012, que establece el Sistema Nacional de Bomberos, enmarca la importancia de la prevención y el control de incendios como una responsabilidad compartida entre autoridades y ciudadanía, del cual el objeto del articulado se alinea con esos principios.</w:t>
      </w:r>
    </w:p>
    <w:p w14:paraId="5E220F19" w14:textId="77777777" w:rsidR="00BA755D" w:rsidRDefault="00BA755D">
      <w:pPr>
        <w:pStyle w:val="LO-normal"/>
        <w:jc w:val="both"/>
        <w:rPr>
          <w:rFonts w:ascii="Arial" w:eastAsia="Arial" w:hAnsi="Arial" w:cs="Arial"/>
        </w:rPr>
      </w:pPr>
    </w:p>
    <w:p w14:paraId="5BAA2924" w14:textId="77777777" w:rsidR="00BA755D" w:rsidRDefault="00B64724">
      <w:pPr>
        <w:pStyle w:val="LO-normal"/>
        <w:jc w:val="both"/>
      </w:pPr>
      <w:r>
        <w:rPr>
          <w:rFonts w:ascii="Arial" w:eastAsia="Arial" w:hAnsi="Arial" w:cs="Arial"/>
        </w:rPr>
        <w:t>La Resolución 661 de 2014, que reglamenta los requisitos para la expedición del concepto técnico de seguridad humana y protección contra incendios, respalda la competencia del Cuerpo de Bomberos en estas labores y por tanto guarda coherencia que esta entidad sea la responsable se la encargada de la implementación y articulación con otras entidades dada su experiencia y conocimiento técnico en la materia.</w:t>
      </w:r>
    </w:p>
    <w:p w14:paraId="29F93BF9" w14:textId="77777777" w:rsidR="00BA755D" w:rsidRDefault="00BA755D">
      <w:pPr>
        <w:pStyle w:val="LO-normal"/>
        <w:jc w:val="both"/>
        <w:rPr>
          <w:rFonts w:ascii="Arial" w:eastAsia="Arial" w:hAnsi="Arial" w:cs="Arial"/>
        </w:rPr>
      </w:pPr>
    </w:p>
    <w:p w14:paraId="597E7687" w14:textId="77777777" w:rsidR="00BA755D" w:rsidRDefault="00B64724">
      <w:pPr>
        <w:pStyle w:val="LO-normal"/>
        <w:jc w:val="both"/>
      </w:pPr>
      <w:r>
        <w:rPr>
          <w:rFonts w:ascii="Arial" w:eastAsia="Arial" w:hAnsi="Arial" w:cs="Arial"/>
        </w:rPr>
        <w:t xml:space="preserve">Las estadísticas relacionadas en el proyecto de acuerdo de emisión de conceptos técnicos estadísticas de incendios en Bogotá revelan la necesidad de intensificar las acciones de prevención y control, especialmente en edificaciones de uso residencial y comercial.  La virtualización de procesos, como se menciona más adelante, facilita la autoevaluación y el acceso a información relevante para la prevención de riesgos.  implementación de plataformas digitales para la autogestión y la capacitación se alinea con las tendencias actuales de modernización de la administración pública y la Norma NSR-10, en su capítulo de seguridad contra incendios, establece la importancia de la capacitación del personal en aspectos relacionados con la prevención y el control de incendios, lo cual consideramos nos indica la necesidad </w:t>
      </w:r>
      <w:r>
        <w:rPr>
          <w:rFonts w:ascii="Arial" w:eastAsia="Arial" w:hAnsi="Arial" w:cs="Arial"/>
          <w:color w:val="000000"/>
        </w:rPr>
        <w:t xml:space="preserve">de impulsar este proyecto de acuerdo. </w:t>
      </w:r>
    </w:p>
    <w:p w14:paraId="63960649" w14:textId="77777777" w:rsidR="00BA755D" w:rsidRDefault="00BA755D">
      <w:pPr>
        <w:pStyle w:val="LO-normal"/>
        <w:jc w:val="both"/>
        <w:rPr>
          <w:rFonts w:ascii="Arial" w:eastAsia="Arial" w:hAnsi="Arial" w:cs="Arial"/>
        </w:rPr>
      </w:pPr>
    </w:p>
    <w:p w14:paraId="0D7C1848" w14:textId="77777777" w:rsidR="00BA755D" w:rsidRDefault="00B64724">
      <w:pPr>
        <w:pStyle w:val="LO-normal"/>
        <w:jc w:val="both"/>
      </w:pPr>
      <w:r>
        <w:rPr>
          <w:rFonts w:ascii="Arial" w:eastAsia="Arial" w:hAnsi="Arial" w:cs="Arial"/>
          <w:color w:val="000000"/>
        </w:rPr>
        <w:t xml:space="preserve">Que el concepto técnico continúe sin tener costo los consideramos que está en congruencia con la eliminación ya indicada en atención al Acuerdo Distrital 927 de 7 de junio del 2024, parágrafo 2 del artículo 290: “elimínese el cobro del concepto de inspección técnica y en consecuencia deróguese el literal a) del artículo 28 del Acuerdo 11 de 1988 y el parágrafo del artículo 2 del Acuerdo 9 de 1992”, de este modo no se </w:t>
      </w:r>
      <w:r>
        <w:rPr>
          <w:rFonts w:ascii="Arial" w:eastAsia="Arial" w:hAnsi="Arial" w:cs="Arial"/>
        </w:rPr>
        <w:t>generará</w:t>
      </w:r>
      <w:r>
        <w:rPr>
          <w:rFonts w:ascii="Arial" w:eastAsia="Arial" w:hAnsi="Arial" w:cs="Arial"/>
          <w:color w:val="000000"/>
        </w:rPr>
        <w:t xml:space="preserve"> el recibo de agua con código de barras y así no se deberá realizar pago alguno por dicho concepto.</w:t>
      </w:r>
    </w:p>
    <w:p w14:paraId="6CBC3C00" w14:textId="77777777" w:rsidR="00BA755D" w:rsidRDefault="00BA755D">
      <w:pPr>
        <w:pStyle w:val="LO-normal"/>
        <w:jc w:val="both"/>
        <w:rPr>
          <w:rFonts w:ascii="Arial" w:eastAsia="Arial" w:hAnsi="Arial" w:cs="Arial"/>
        </w:rPr>
      </w:pPr>
    </w:p>
    <w:p w14:paraId="74726BD9" w14:textId="77777777" w:rsidR="00BA755D" w:rsidRDefault="00BA755D">
      <w:pPr>
        <w:pStyle w:val="LO-normal"/>
        <w:jc w:val="both"/>
        <w:rPr>
          <w:rFonts w:ascii="Arial" w:eastAsia="Arial" w:hAnsi="Arial" w:cs="Arial"/>
        </w:rPr>
      </w:pPr>
    </w:p>
    <w:p w14:paraId="64A058DE" w14:textId="77777777" w:rsidR="00BA755D" w:rsidRDefault="00B64724">
      <w:pPr>
        <w:pStyle w:val="LO-normal"/>
        <w:jc w:val="both"/>
        <w:rPr>
          <w:rFonts w:ascii="Arial" w:eastAsia="Arial" w:hAnsi="Arial" w:cs="Arial"/>
        </w:rPr>
      </w:pPr>
      <w:r>
        <w:rPr>
          <w:rFonts w:ascii="Arial" w:eastAsia="Arial" w:hAnsi="Arial" w:cs="Arial"/>
          <w:b/>
        </w:rPr>
        <w:t>8. PLIEGO MODIFICATORIO</w:t>
      </w:r>
    </w:p>
    <w:p w14:paraId="767E325C" w14:textId="77777777" w:rsidR="00BA755D" w:rsidRDefault="00BA755D">
      <w:pPr>
        <w:pStyle w:val="LO-normal"/>
        <w:jc w:val="both"/>
        <w:rPr>
          <w:rFonts w:ascii="Arial" w:eastAsia="Arial" w:hAnsi="Arial" w:cs="Arial"/>
        </w:rPr>
      </w:pPr>
    </w:p>
    <w:p w14:paraId="625EDAF9" w14:textId="7784624C" w:rsidR="00BA755D" w:rsidRPr="00F85609" w:rsidRDefault="00B64724">
      <w:pPr>
        <w:pStyle w:val="LO-normal"/>
        <w:jc w:val="both"/>
        <w:rPr>
          <w:rFonts w:ascii="Arial" w:eastAsia="Arial" w:hAnsi="Arial" w:cs="Arial"/>
          <w:bCs/>
          <w:color w:val="000000"/>
          <w:highlight w:val="white"/>
        </w:rPr>
      </w:pPr>
      <w:r w:rsidRPr="00F85609">
        <w:rPr>
          <w:rFonts w:ascii="Arial" w:eastAsia="Arial" w:hAnsi="Arial" w:cs="Arial"/>
          <w:bCs/>
          <w:color w:val="000000"/>
          <w:highlight w:val="white"/>
        </w:rPr>
        <w:t>Sin modificaciones</w:t>
      </w:r>
      <w:r w:rsidR="00F85609">
        <w:rPr>
          <w:rFonts w:ascii="Arial" w:eastAsia="Arial" w:hAnsi="Arial" w:cs="Arial"/>
          <w:bCs/>
          <w:color w:val="000000"/>
          <w:highlight w:val="white"/>
        </w:rPr>
        <w:t>.</w:t>
      </w:r>
    </w:p>
    <w:p w14:paraId="6C035D7E" w14:textId="77777777" w:rsidR="00BA755D" w:rsidRDefault="00BA755D">
      <w:pPr>
        <w:pStyle w:val="LO-normal"/>
        <w:jc w:val="both"/>
        <w:rPr>
          <w:rFonts w:ascii="Arial" w:eastAsia="Arial" w:hAnsi="Arial" w:cs="Arial"/>
          <w:b/>
          <w:color w:val="000000"/>
          <w:highlight w:val="white"/>
        </w:rPr>
      </w:pPr>
    </w:p>
    <w:p w14:paraId="58269F36" w14:textId="77777777" w:rsidR="00BA755D" w:rsidRDefault="00B64724">
      <w:pPr>
        <w:pStyle w:val="Ttulo5"/>
        <w:spacing w:line="276" w:lineRule="auto"/>
        <w:rPr>
          <w:rFonts w:ascii="Arial" w:eastAsia="Arial" w:hAnsi="Arial" w:cs="Arial"/>
          <w:b/>
          <w:color w:val="000000"/>
        </w:rPr>
      </w:pPr>
      <w:r>
        <w:rPr>
          <w:rFonts w:ascii="Arial" w:eastAsia="Arial" w:hAnsi="Arial" w:cs="Arial"/>
          <w:b/>
          <w:color w:val="000000"/>
        </w:rPr>
        <w:t>9. CONCLUSIÓN</w:t>
      </w:r>
    </w:p>
    <w:p w14:paraId="5CB6BEF2" w14:textId="77777777" w:rsidR="00BA755D" w:rsidRDefault="00BA755D">
      <w:pPr>
        <w:pStyle w:val="LO-normal"/>
        <w:shd w:val="clear" w:color="auto" w:fill="FFFFFF"/>
        <w:spacing w:line="276" w:lineRule="auto"/>
        <w:jc w:val="both"/>
        <w:rPr>
          <w:rFonts w:ascii="Arial" w:eastAsia="Arial" w:hAnsi="Arial" w:cs="Arial"/>
          <w:b/>
          <w:color w:val="000000"/>
        </w:rPr>
      </w:pPr>
    </w:p>
    <w:p w14:paraId="69C82C11" w14:textId="77777777" w:rsidR="00BA755D" w:rsidRDefault="00B64724">
      <w:pPr>
        <w:pStyle w:val="LO-normal"/>
        <w:shd w:val="clear" w:color="auto" w:fill="FFFFFF"/>
        <w:jc w:val="both"/>
        <w:rPr>
          <w:rFonts w:ascii="Arial" w:eastAsia="Arial" w:hAnsi="Arial" w:cs="Arial"/>
        </w:rPr>
      </w:pPr>
      <w:r>
        <w:rPr>
          <w:rFonts w:ascii="Arial" w:eastAsia="Arial" w:hAnsi="Arial" w:cs="Arial"/>
        </w:rPr>
        <w:t xml:space="preserve">Con lo expresado anteriormente, rendimos </w:t>
      </w:r>
      <w:r>
        <w:rPr>
          <w:rFonts w:ascii="Arial" w:eastAsia="Arial" w:hAnsi="Arial" w:cs="Arial"/>
          <w:b/>
        </w:rPr>
        <w:t>PONENCIA POSITIVA CONJUNTA</w:t>
      </w:r>
      <w:r>
        <w:rPr>
          <w:rFonts w:ascii="Arial" w:eastAsia="Arial" w:hAnsi="Arial" w:cs="Arial"/>
        </w:rPr>
        <w:t xml:space="preserve">, al Proyecto de Acuerdo No. 184 </w:t>
      </w:r>
      <w:r>
        <w:rPr>
          <w:rFonts w:ascii="Arial" w:eastAsia="Arial" w:hAnsi="Arial" w:cs="Arial"/>
          <w:i/>
        </w:rPr>
        <w:t>de 2025, “Por el cual se dictan lineamientos para orientar y fortalecer las condiciones mínimas de revisión de los sistemas de protección contra incendios estructurales en Bogotá D.C”.</w:t>
      </w:r>
    </w:p>
    <w:p w14:paraId="3F4F866E" w14:textId="77777777" w:rsidR="00BA755D" w:rsidRDefault="00BA755D">
      <w:pPr>
        <w:pStyle w:val="LO-normal"/>
        <w:shd w:val="clear" w:color="auto" w:fill="FFFFFF"/>
        <w:jc w:val="both"/>
        <w:rPr>
          <w:rFonts w:ascii="Arial" w:eastAsia="Arial" w:hAnsi="Arial" w:cs="Arial"/>
        </w:rPr>
      </w:pPr>
    </w:p>
    <w:p w14:paraId="68E50645" w14:textId="468B5EEA" w:rsidR="00BA755D" w:rsidRDefault="00BA755D">
      <w:pPr>
        <w:pStyle w:val="LO-normal"/>
        <w:shd w:val="clear" w:color="auto" w:fill="FFFFFF"/>
        <w:jc w:val="both"/>
        <w:rPr>
          <w:rFonts w:ascii="Arial" w:eastAsia="Arial" w:hAnsi="Arial" w:cs="Arial"/>
        </w:rPr>
      </w:pPr>
    </w:p>
    <w:p w14:paraId="352E7CE1" w14:textId="77777777" w:rsidR="00BA755D" w:rsidRDefault="00B64724">
      <w:pPr>
        <w:pStyle w:val="LO-normal"/>
        <w:shd w:val="clear" w:color="auto" w:fill="FFFFFF"/>
        <w:rPr>
          <w:rFonts w:ascii="Arial" w:eastAsia="Arial" w:hAnsi="Arial" w:cs="Arial"/>
        </w:rPr>
      </w:pPr>
      <w:r>
        <w:rPr>
          <w:rFonts w:ascii="Arial" w:eastAsia="Arial" w:hAnsi="Arial" w:cs="Arial"/>
        </w:rPr>
        <w:t xml:space="preserve">Cordialmente, </w:t>
      </w:r>
    </w:p>
    <w:p w14:paraId="53798839" w14:textId="77777777" w:rsidR="00BA755D" w:rsidRDefault="00BA755D">
      <w:pPr>
        <w:pStyle w:val="LO-normal"/>
        <w:shd w:val="clear" w:color="auto" w:fill="FFFFFF"/>
        <w:rPr>
          <w:rFonts w:ascii="Arial" w:eastAsia="Arial" w:hAnsi="Arial" w:cs="Arial"/>
        </w:rPr>
      </w:pPr>
    </w:p>
    <w:p w14:paraId="786BCD4B" w14:textId="76200C78" w:rsidR="00BA755D" w:rsidRDefault="00BA755D">
      <w:pPr>
        <w:pStyle w:val="LO-normal"/>
        <w:shd w:val="clear" w:color="auto" w:fill="FFFFFF"/>
        <w:rPr>
          <w:rFonts w:ascii="Arial" w:eastAsia="Arial" w:hAnsi="Arial" w:cs="Arial"/>
        </w:rPr>
      </w:pPr>
    </w:p>
    <w:p w14:paraId="5AAFA73D" w14:textId="77777777" w:rsidR="00BA755D" w:rsidRDefault="00BA755D">
      <w:pPr>
        <w:pStyle w:val="LO-normal"/>
        <w:shd w:val="clear" w:color="auto" w:fill="FFFFFF"/>
        <w:rPr>
          <w:rFonts w:ascii="Arial" w:eastAsia="Arial" w:hAnsi="Arial" w:cs="Arial"/>
        </w:rPr>
      </w:pPr>
    </w:p>
    <w:p w14:paraId="1FAFA5B4" w14:textId="77777777" w:rsidR="00BA755D" w:rsidRDefault="00BA755D">
      <w:pPr>
        <w:pStyle w:val="LO-normal"/>
        <w:shd w:val="clear" w:color="auto" w:fill="FFFFFF"/>
        <w:rPr>
          <w:rFonts w:ascii="Arial" w:eastAsia="Arial" w:hAnsi="Arial" w:cs="Arial"/>
        </w:rPr>
      </w:pPr>
    </w:p>
    <w:p w14:paraId="3074BC5D" w14:textId="77777777" w:rsidR="00BA755D" w:rsidRDefault="00B64724">
      <w:pPr>
        <w:pStyle w:val="LO-normal"/>
        <w:shd w:val="clear" w:color="auto" w:fill="FFFFFF"/>
        <w:rPr>
          <w:rFonts w:ascii="Arial" w:eastAsia="Arial" w:hAnsi="Arial" w:cs="Arial"/>
        </w:rPr>
      </w:pP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p>
    <w:p w14:paraId="096B0AB0" w14:textId="77777777" w:rsidR="00BA755D" w:rsidRDefault="00B64724">
      <w:pPr>
        <w:pStyle w:val="LO-normal"/>
        <w:shd w:val="clear" w:color="auto" w:fill="FFFFFF"/>
        <w:rPr>
          <w:rFonts w:ascii="Arial" w:eastAsia="Arial" w:hAnsi="Arial" w:cs="Arial"/>
          <w:b/>
        </w:rPr>
      </w:pPr>
      <w:r>
        <w:rPr>
          <w:rFonts w:ascii="Arial" w:eastAsia="Arial" w:hAnsi="Arial" w:cs="Arial"/>
          <w:b/>
        </w:rPr>
        <w:t xml:space="preserve"> </w:t>
      </w:r>
    </w:p>
    <w:p w14:paraId="6A85BFAD" w14:textId="77777777" w:rsidR="00BA755D" w:rsidRDefault="00B64724">
      <w:pPr>
        <w:pStyle w:val="LO-normal"/>
        <w:shd w:val="clear" w:color="auto" w:fill="FFFFFF"/>
        <w:rPr>
          <w:rFonts w:ascii="Arial" w:eastAsia="Arial" w:hAnsi="Arial" w:cs="Arial"/>
          <w:b/>
        </w:rPr>
      </w:pPr>
      <w:r>
        <w:rPr>
          <w:rFonts w:ascii="Arial" w:eastAsia="Arial" w:hAnsi="Arial" w:cs="Arial"/>
          <w:b/>
        </w:rPr>
        <w:t xml:space="preserve">FABIÁN ANDRÉS PUENTES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color w:val="000000"/>
        </w:rPr>
        <w:t>ÓSCAR JAIME RAMÍREZ VAHOS</w:t>
      </w:r>
    </w:p>
    <w:p w14:paraId="28174377" w14:textId="77777777" w:rsidR="00BA755D" w:rsidRDefault="00B64724">
      <w:pPr>
        <w:pStyle w:val="LO-normal"/>
        <w:shd w:val="clear" w:color="auto" w:fill="FFFFFF"/>
        <w:rPr>
          <w:rFonts w:ascii="Arial" w:eastAsia="Arial" w:hAnsi="Arial" w:cs="Arial"/>
          <w:b/>
        </w:rPr>
      </w:pPr>
      <w:r>
        <w:rPr>
          <w:rFonts w:ascii="Arial" w:eastAsia="Arial" w:hAnsi="Arial" w:cs="Arial"/>
        </w:rPr>
        <w:t xml:space="preserve">       Coordinador ponente</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 xml:space="preserve">         Ponente</w:t>
      </w:r>
    </w:p>
    <w:p w14:paraId="1F83EA20" w14:textId="77777777" w:rsidR="00BA755D" w:rsidRDefault="00BA755D">
      <w:pPr>
        <w:pStyle w:val="LO-normal"/>
        <w:shd w:val="clear" w:color="auto" w:fill="FFFFFF"/>
        <w:rPr>
          <w:rFonts w:ascii="Arial" w:eastAsia="Arial" w:hAnsi="Arial" w:cs="Arial"/>
        </w:rPr>
      </w:pPr>
    </w:p>
    <w:sectPr w:rsidR="00BA755D">
      <w:headerReference w:type="default" r:id="rId9"/>
      <w:pgSz w:w="12240" w:h="15840"/>
      <w:pgMar w:top="1701" w:right="1469" w:bottom="0" w:left="1701" w:header="1134"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41BE2F" w14:textId="77777777" w:rsidR="00B64724" w:rsidRDefault="00B64724">
      <w:r>
        <w:separator/>
      </w:r>
    </w:p>
  </w:endnote>
  <w:endnote w:type="continuationSeparator" w:id="0">
    <w:p w14:paraId="5C101648" w14:textId="77777777" w:rsidR="00B64724" w:rsidRDefault="00B647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embedRegular r:id="rId1" w:fontKey="{E62380AD-DF0A-46B1-A641-909AD7C53EA1}"/>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erif CJK SC">
    <w:altName w:val="Cambria"/>
    <w:panose1 w:val="00000000000000000000"/>
    <w:charset w:val="00"/>
    <w:family w:val="roman"/>
    <w:notTrueType/>
    <w:pitch w:val="default"/>
  </w:font>
  <w:font w:name="Lohit Devanagari">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2" w:fontKey="{10A8F3B0-54B9-4C4E-A4F5-9F290B28639C}"/>
    <w:embedBold r:id="rId3" w:fontKey="{F33C0CE3-B7D1-41EC-8170-84E83885ABBA}"/>
    <w:embedBoldItalic r:id="rId4" w:fontKey="{17F37DF7-82C8-424A-881F-6B50F429647A}"/>
  </w:font>
  <w:font w:name="Arial">
    <w:panose1 w:val="020B0604020202020204"/>
    <w:charset w:val="00"/>
    <w:family w:val="swiss"/>
    <w:pitch w:val="variable"/>
    <w:sig w:usb0="E0002EFF" w:usb1="C000785B" w:usb2="00000009" w:usb3="00000000" w:csb0="000001FF" w:csb1="00000000"/>
  </w:font>
  <w:font w:name="OpenSymbol">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5" w:fontKey="{3E2F2792-35D8-4287-9ED0-69F4F5834535}"/>
  </w:font>
  <w:font w:name="Calibri">
    <w:panose1 w:val="020F0502020204030204"/>
    <w:charset w:val="00"/>
    <w:family w:val="swiss"/>
    <w:pitch w:val="variable"/>
    <w:sig w:usb0="E4002EFF" w:usb1="C000247B" w:usb2="00000009" w:usb3="00000000" w:csb0="000001FF" w:csb1="00000000"/>
    <w:embedRegular r:id="rId6" w:fontKey="{BAE4121E-6A94-4591-9ED9-91245FF5F1CE}"/>
    <w:embedBold r:id="rId7" w:fontKey="{5E0FD2A8-0BD3-4D5F-9B9E-5732B2BFE108}"/>
  </w:font>
  <w:font w:name="Bookman Old Style">
    <w:panose1 w:val="02050604050505020204"/>
    <w:charset w:val="00"/>
    <w:family w:val="roman"/>
    <w:pitch w:val="variable"/>
    <w:sig w:usb0="00000287" w:usb1="00000000" w:usb2="00000000" w:usb3="00000000" w:csb0="0000009F" w:csb1="00000000"/>
    <w:embedRegular r:id="rId8" w:fontKey="{69CAFB65-67AB-4EA4-B442-0E834DC0786E}"/>
  </w:font>
  <w:font w:name="Georgia">
    <w:panose1 w:val="02040502050405020303"/>
    <w:charset w:val="00"/>
    <w:family w:val="roman"/>
    <w:pitch w:val="variable"/>
    <w:sig w:usb0="00000287" w:usb1="00000000" w:usb2="00000000" w:usb3="00000000" w:csb0="0000009F" w:csb1="00000000"/>
    <w:embedRegular r:id="rId9" w:fontKey="{5932A1F5-07FF-4EBF-92E2-F5D2FDF28E00}"/>
    <w:embedItalic r:id="rId10" w:fontKey="{0EEEFC57-1A7E-4002-9D5C-8B71247DE6D6}"/>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20BE12" w14:textId="77777777" w:rsidR="00B64724" w:rsidRDefault="00B64724">
      <w:r>
        <w:separator/>
      </w:r>
    </w:p>
  </w:footnote>
  <w:footnote w:type="continuationSeparator" w:id="0">
    <w:p w14:paraId="17FC1A7F" w14:textId="77777777" w:rsidR="00B64724" w:rsidRDefault="00B64724">
      <w:r>
        <w:continuationSeparator/>
      </w:r>
    </w:p>
  </w:footnote>
  <w:footnote w:id="1">
    <w:p w14:paraId="0F4CC819" w14:textId="77777777" w:rsidR="00BA755D" w:rsidRDefault="00B64724">
      <w:pPr>
        <w:pStyle w:val="LO-normal"/>
        <w:pBdr>
          <w:top w:val="nil"/>
          <w:left w:val="nil"/>
          <w:bottom w:val="nil"/>
          <w:right w:val="nil"/>
          <w:between w:val="nil"/>
        </w:pBdr>
        <w:rPr>
          <w:rFonts w:ascii="Arial" w:eastAsia="Arial" w:hAnsi="Arial" w:cs="Arial"/>
          <w:color w:val="000000"/>
          <w:sz w:val="20"/>
          <w:szCs w:val="20"/>
        </w:rPr>
      </w:pPr>
      <w:r>
        <w:rPr>
          <w:vertAlign w:val="superscript"/>
        </w:rPr>
        <w:footnoteRef/>
      </w:r>
      <w:r>
        <w:rPr>
          <w:rFonts w:ascii="Arial" w:eastAsia="Arial" w:hAnsi="Arial" w:cs="Arial"/>
          <w:color w:val="000000"/>
          <w:sz w:val="20"/>
          <w:szCs w:val="20"/>
        </w:rPr>
        <w:t xml:space="preserve"> Respuesta: UAECOB Radicado E-01052-2024005940-UAECOB Id: 20842. Octubre de 2024.</w:t>
      </w:r>
    </w:p>
  </w:footnote>
  <w:footnote w:id="2">
    <w:p w14:paraId="0FA52C2B" w14:textId="77777777" w:rsidR="00BA755D" w:rsidRDefault="00B64724">
      <w:pPr>
        <w:pStyle w:val="LO-normal"/>
        <w:jc w:val="both"/>
        <w:rPr>
          <w:rFonts w:ascii="Arial" w:eastAsia="Arial" w:hAnsi="Arial" w:cs="Arial"/>
          <w:sz w:val="20"/>
          <w:szCs w:val="20"/>
        </w:rPr>
      </w:pPr>
      <w:r>
        <w:rPr>
          <w:vertAlign w:val="superscript"/>
        </w:rPr>
        <w:footnoteRef/>
      </w:r>
      <w:r>
        <w:rPr>
          <w:rFonts w:ascii="Arial" w:eastAsia="Arial" w:hAnsi="Arial" w:cs="Arial"/>
          <w:sz w:val="20"/>
          <w:szCs w:val="20"/>
        </w:rPr>
        <w:t xml:space="preserve"> UAECOB. (2022). Escenario de riesgo por incendio estructural en Bogotá. </w:t>
      </w:r>
      <w:hyperlink r:id="rId1">
        <w:r>
          <w:rPr>
            <w:rFonts w:ascii="Arial" w:eastAsia="Arial" w:hAnsi="Arial" w:cs="Arial"/>
            <w:color w:val="1155CC"/>
            <w:sz w:val="20"/>
            <w:szCs w:val="20"/>
            <w:u w:val="single"/>
          </w:rPr>
          <w:t>https://anraci.org/blog/estadisticas-de-incendios-estructurales-en-bogota/</w:t>
        </w:r>
      </w:hyperlink>
      <w:r>
        <w:rPr>
          <w:rFonts w:ascii="Arial" w:eastAsia="Arial" w:hAnsi="Arial" w:cs="Arial"/>
          <w:sz w:val="20"/>
          <w:szCs w:val="20"/>
        </w:rPr>
        <w:t xml:space="preserve"> </w:t>
      </w:r>
    </w:p>
  </w:footnote>
  <w:footnote w:id="3">
    <w:p w14:paraId="4E9C333B" w14:textId="77777777" w:rsidR="00BA755D" w:rsidRDefault="00B64724">
      <w:pPr>
        <w:pStyle w:val="LO-normal"/>
        <w:jc w:val="both"/>
        <w:rPr>
          <w:rFonts w:ascii="Arial" w:eastAsia="Arial" w:hAnsi="Arial" w:cs="Arial"/>
          <w:sz w:val="20"/>
          <w:szCs w:val="20"/>
        </w:rPr>
      </w:pPr>
      <w:r>
        <w:rPr>
          <w:vertAlign w:val="superscript"/>
        </w:rPr>
        <w:footnoteRef/>
      </w:r>
      <w:r>
        <w:rPr>
          <w:rFonts w:ascii="Arial" w:eastAsia="Arial" w:hAnsi="Arial" w:cs="Arial"/>
          <w:sz w:val="20"/>
          <w:szCs w:val="20"/>
        </w:rPr>
        <w:t xml:space="preserve"> UAECOB (2021). Incendios estructurales en Bogotá. </w:t>
      </w:r>
      <w:hyperlink r:id="rId2">
        <w:r>
          <w:rPr>
            <w:rFonts w:ascii="Arial" w:eastAsia="Arial" w:hAnsi="Arial" w:cs="Arial"/>
            <w:color w:val="1155CC"/>
            <w:sz w:val="20"/>
            <w:szCs w:val="20"/>
            <w:u w:val="single"/>
          </w:rPr>
          <w:t>http://bomberosbogota.gov.co/content/incendios-estructurales-bogota</w:t>
        </w:r>
      </w:hyperlink>
      <w:r>
        <w:rPr>
          <w:rFonts w:ascii="Arial" w:eastAsia="Arial" w:hAnsi="Arial" w:cs="Arial"/>
          <w:sz w:val="20"/>
          <w:szCs w:val="20"/>
        </w:rPr>
        <w:t xml:space="preserve"> </w:t>
      </w:r>
    </w:p>
  </w:footnote>
  <w:footnote w:id="4">
    <w:p w14:paraId="59662E75" w14:textId="77777777" w:rsidR="00BA755D" w:rsidRDefault="00B64724">
      <w:pPr>
        <w:pStyle w:val="LO-normal"/>
        <w:jc w:val="both"/>
        <w:rPr>
          <w:rFonts w:ascii="Arial" w:eastAsia="Arial" w:hAnsi="Arial" w:cs="Arial"/>
          <w:sz w:val="20"/>
          <w:szCs w:val="20"/>
        </w:rPr>
      </w:pPr>
      <w:r>
        <w:rPr>
          <w:vertAlign w:val="superscript"/>
        </w:rPr>
        <w:footnoteRef/>
      </w:r>
      <w:r>
        <w:rPr>
          <w:rFonts w:ascii="Arial" w:eastAsia="Arial" w:hAnsi="Arial" w:cs="Arial"/>
          <w:sz w:val="20"/>
          <w:szCs w:val="20"/>
        </w:rPr>
        <w:t xml:space="preserve"> Secretaría de Integración Social (2025). Distrito atendió a familias afectadas por incendio en el barrio San Blas en la localidad de San Cristóbal. </w:t>
      </w:r>
      <w:hyperlink r:id="rId3">
        <w:r>
          <w:rPr>
            <w:rFonts w:ascii="Arial" w:eastAsia="Arial" w:hAnsi="Arial" w:cs="Arial"/>
            <w:color w:val="1155CC"/>
            <w:sz w:val="20"/>
            <w:szCs w:val="20"/>
            <w:u w:val="single"/>
          </w:rPr>
          <w:t>https://www.integracionsocial.gov.co/index.php/noticias/100-emergencia-social-y-natural</w:t>
        </w:r>
      </w:hyperlink>
      <w:r>
        <w:rPr>
          <w:rFonts w:ascii="Arial" w:eastAsia="Arial" w:hAnsi="Arial" w:cs="Arial"/>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7431E" w14:textId="77777777" w:rsidR="00BA755D" w:rsidRDefault="00BA755D">
    <w:pPr>
      <w:pStyle w:val="LO-normal"/>
      <w:widowControl w:val="0"/>
      <w:spacing w:line="276" w:lineRule="auto"/>
      <w:rPr>
        <w:i/>
      </w:rPr>
    </w:pPr>
  </w:p>
  <w:tbl>
    <w:tblPr>
      <w:tblStyle w:val="a0"/>
      <w:tblW w:w="9205" w:type="dxa"/>
      <w:tblInd w:w="-147" w:type="dxa"/>
      <w:tblLayout w:type="fixed"/>
      <w:tblLook w:val="0000" w:firstRow="0" w:lastRow="0" w:firstColumn="0" w:lastColumn="0" w:noHBand="0" w:noVBand="0"/>
    </w:tblPr>
    <w:tblGrid>
      <w:gridCol w:w="2421"/>
      <w:gridCol w:w="4348"/>
      <w:gridCol w:w="2436"/>
    </w:tblGrid>
    <w:tr w:rsidR="00BA755D" w14:paraId="0DB2A29B" w14:textId="77777777">
      <w:trPr>
        <w:trHeight w:val="454"/>
      </w:trPr>
      <w:tc>
        <w:tcPr>
          <w:tcW w:w="2421" w:type="dxa"/>
          <w:vMerge w:val="restart"/>
          <w:tcBorders>
            <w:top w:val="single" w:sz="4" w:space="0" w:color="000000"/>
            <w:left w:val="single" w:sz="4" w:space="0" w:color="000000"/>
            <w:bottom w:val="single" w:sz="4" w:space="0" w:color="000000"/>
            <w:right w:val="single" w:sz="4" w:space="0" w:color="000000"/>
          </w:tcBorders>
          <w:vAlign w:val="center"/>
        </w:tcPr>
        <w:p w14:paraId="01969FC8" w14:textId="77777777" w:rsidR="00BA755D" w:rsidRDefault="00B64724">
          <w:pPr>
            <w:pStyle w:val="LO-normal"/>
            <w:jc w:val="center"/>
            <w:rPr>
              <w:sz w:val="16"/>
              <w:szCs w:val="16"/>
            </w:rPr>
          </w:pPr>
          <w:r>
            <w:rPr>
              <w:noProof/>
              <w:lang w:val="es-CO" w:eastAsia="es-CO" w:bidi="ar-SA"/>
            </w:rPr>
            <w:drawing>
              <wp:inline distT="0" distB="0" distL="0" distR="0" wp14:anchorId="6D713DB9" wp14:editId="2C59E256">
                <wp:extent cx="905510" cy="79502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05510" cy="795020"/>
                        </a:xfrm>
                        <a:prstGeom prst="rect">
                          <a:avLst/>
                        </a:prstGeom>
                        <a:ln/>
                      </pic:spPr>
                    </pic:pic>
                  </a:graphicData>
                </a:graphic>
              </wp:inline>
            </w:drawing>
          </w:r>
        </w:p>
      </w:tc>
      <w:tc>
        <w:tcPr>
          <w:tcW w:w="4348" w:type="dxa"/>
          <w:tcBorders>
            <w:top w:val="single" w:sz="4" w:space="0" w:color="000000"/>
            <w:left w:val="single" w:sz="4" w:space="0" w:color="000000"/>
            <w:bottom w:val="single" w:sz="4" w:space="0" w:color="000000"/>
            <w:right w:val="single" w:sz="4" w:space="0" w:color="000000"/>
          </w:tcBorders>
          <w:vAlign w:val="center"/>
        </w:tcPr>
        <w:p w14:paraId="0A7C72E2" w14:textId="77777777" w:rsidR="00BA755D" w:rsidRDefault="00B64724">
          <w:pPr>
            <w:pStyle w:val="LO-normal"/>
            <w:jc w:val="center"/>
            <w:rPr>
              <w:sz w:val="18"/>
              <w:szCs w:val="18"/>
            </w:rPr>
          </w:pPr>
          <w:r>
            <w:rPr>
              <w:sz w:val="18"/>
              <w:szCs w:val="18"/>
            </w:rPr>
            <w:t>PROCESO GESTIÓN NORMATIVA</w:t>
          </w:r>
        </w:p>
      </w:tc>
      <w:tc>
        <w:tcPr>
          <w:tcW w:w="2436" w:type="dxa"/>
          <w:tcBorders>
            <w:top w:val="single" w:sz="4" w:space="0" w:color="000000"/>
            <w:left w:val="single" w:sz="4" w:space="0" w:color="000000"/>
            <w:bottom w:val="single" w:sz="4" w:space="0" w:color="000000"/>
            <w:right w:val="single" w:sz="4" w:space="0" w:color="000000"/>
          </w:tcBorders>
          <w:vAlign w:val="center"/>
        </w:tcPr>
        <w:p w14:paraId="634FF68E" w14:textId="77777777" w:rsidR="00BA755D" w:rsidRDefault="00B64724">
          <w:pPr>
            <w:pStyle w:val="LO-normal"/>
            <w:rPr>
              <w:sz w:val="16"/>
              <w:szCs w:val="16"/>
            </w:rPr>
          </w:pPr>
          <w:r>
            <w:rPr>
              <w:sz w:val="16"/>
              <w:szCs w:val="16"/>
            </w:rPr>
            <w:t>CÓDIGO</w:t>
          </w:r>
          <w:r>
            <w:rPr>
              <w:color w:val="3366FF"/>
              <w:sz w:val="16"/>
              <w:szCs w:val="16"/>
            </w:rPr>
            <w:t xml:space="preserve">: </w:t>
          </w:r>
          <w:r>
            <w:rPr>
              <w:sz w:val="16"/>
              <w:szCs w:val="16"/>
            </w:rPr>
            <w:t>GN-PR001- FO2</w:t>
          </w:r>
        </w:p>
      </w:tc>
    </w:tr>
    <w:tr w:rsidR="00BA755D" w14:paraId="66145587" w14:textId="77777777">
      <w:trPr>
        <w:trHeight w:val="454"/>
      </w:trPr>
      <w:tc>
        <w:tcPr>
          <w:tcW w:w="2421" w:type="dxa"/>
          <w:vMerge/>
          <w:tcBorders>
            <w:top w:val="single" w:sz="4" w:space="0" w:color="000000"/>
            <w:left w:val="single" w:sz="4" w:space="0" w:color="000000"/>
            <w:bottom w:val="single" w:sz="4" w:space="0" w:color="000000"/>
            <w:right w:val="single" w:sz="4" w:space="0" w:color="000000"/>
          </w:tcBorders>
          <w:vAlign w:val="center"/>
        </w:tcPr>
        <w:p w14:paraId="1914DD97" w14:textId="77777777" w:rsidR="00BA755D" w:rsidRDefault="00BA755D">
          <w:pPr>
            <w:pStyle w:val="LO-normal"/>
            <w:widowControl w:val="0"/>
            <w:pBdr>
              <w:top w:val="nil"/>
              <w:left w:val="nil"/>
              <w:bottom w:val="nil"/>
              <w:right w:val="nil"/>
              <w:between w:val="nil"/>
            </w:pBdr>
            <w:spacing w:line="276" w:lineRule="auto"/>
            <w:rPr>
              <w:sz w:val="16"/>
              <w:szCs w:val="16"/>
            </w:rPr>
          </w:pPr>
        </w:p>
      </w:tc>
      <w:tc>
        <w:tcPr>
          <w:tcW w:w="4348" w:type="dxa"/>
          <w:vMerge w:val="restart"/>
          <w:tcBorders>
            <w:top w:val="single" w:sz="4" w:space="0" w:color="000000"/>
            <w:left w:val="single" w:sz="4" w:space="0" w:color="000000"/>
            <w:bottom w:val="single" w:sz="4" w:space="0" w:color="000000"/>
            <w:right w:val="single" w:sz="4" w:space="0" w:color="000000"/>
          </w:tcBorders>
          <w:vAlign w:val="center"/>
        </w:tcPr>
        <w:p w14:paraId="5085B60F" w14:textId="77777777" w:rsidR="00BA755D" w:rsidRDefault="00B64724">
          <w:pPr>
            <w:pStyle w:val="LO-normal"/>
            <w:jc w:val="center"/>
            <w:rPr>
              <w:sz w:val="20"/>
              <w:szCs w:val="20"/>
            </w:rPr>
          </w:pPr>
          <w:r>
            <w:rPr>
              <w:sz w:val="20"/>
              <w:szCs w:val="20"/>
            </w:rPr>
            <w:t>PRESENTACIÓN PONENCIAS</w:t>
          </w:r>
        </w:p>
      </w:tc>
      <w:tc>
        <w:tcPr>
          <w:tcW w:w="2436" w:type="dxa"/>
          <w:tcBorders>
            <w:top w:val="single" w:sz="4" w:space="0" w:color="000000"/>
            <w:left w:val="single" w:sz="4" w:space="0" w:color="000000"/>
            <w:bottom w:val="single" w:sz="4" w:space="0" w:color="000000"/>
            <w:right w:val="single" w:sz="4" w:space="0" w:color="000000"/>
          </w:tcBorders>
          <w:vAlign w:val="center"/>
        </w:tcPr>
        <w:p w14:paraId="34A62CE0" w14:textId="77777777" w:rsidR="00BA755D" w:rsidRDefault="00B64724">
          <w:pPr>
            <w:pStyle w:val="LO-normal"/>
            <w:rPr>
              <w:sz w:val="16"/>
              <w:szCs w:val="16"/>
            </w:rPr>
          </w:pPr>
          <w:r>
            <w:rPr>
              <w:sz w:val="16"/>
              <w:szCs w:val="16"/>
            </w:rPr>
            <w:t>VERSIÓN:    00</w:t>
          </w:r>
        </w:p>
      </w:tc>
    </w:tr>
    <w:tr w:rsidR="00BA755D" w14:paraId="3A9D2885" w14:textId="77777777">
      <w:trPr>
        <w:trHeight w:val="454"/>
      </w:trPr>
      <w:tc>
        <w:tcPr>
          <w:tcW w:w="2421" w:type="dxa"/>
          <w:vMerge/>
          <w:tcBorders>
            <w:top w:val="single" w:sz="4" w:space="0" w:color="000000"/>
            <w:left w:val="single" w:sz="4" w:space="0" w:color="000000"/>
            <w:bottom w:val="single" w:sz="4" w:space="0" w:color="000000"/>
            <w:right w:val="single" w:sz="4" w:space="0" w:color="000000"/>
          </w:tcBorders>
          <w:vAlign w:val="center"/>
        </w:tcPr>
        <w:p w14:paraId="3522192D" w14:textId="77777777" w:rsidR="00BA755D" w:rsidRDefault="00BA755D">
          <w:pPr>
            <w:pStyle w:val="LO-normal"/>
            <w:widowControl w:val="0"/>
            <w:pBdr>
              <w:top w:val="nil"/>
              <w:left w:val="nil"/>
              <w:bottom w:val="nil"/>
              <w:right w:val="nil"/>
              <w:between w:val="nil"/>
            </w:pBdr>
            <w:spacing w:line="276" w:lineRule="auto"/>
            <w:rPr>
              <w:sz w:val="16"/>
              <w:szCs w:val="16"/>
            </w:rPr>
          </w:pPr>
        </w:p>
      </w:tc>
      <w:tc>
        <w:tcPr>
          <w:tcW w:w="4348" w:type="dxa"/>
          <w:vMerge/>
          <w:tcBorders>
            <w:top w:val="single" w:sz="4" w:space="0" w:color="000000"/>
            <w:left w:val="single" w:sz="4" w:space="0" w:color="000000"/>
            <w:bottom w:val="single" w:sz="4" w:space="0" w:color="000000"/>
            <w:right w:val="single" w:sz="4" w:space="0" w:color="000000"/>
          </w:tcBorders>
          <w:vAlign w:val="center"/>
        </w:tcPr>
        <w:p w14:paraId="782C93DC" w14:textId="77777777" w:rsidR="00BA755D" w:rsidRDefault="00BA755D">
          <w:pPr>
            <w:pStyle w:val="LO-normal"/>
            <w:widowControl w:val="0"/>
            <w:pBdr>
              <w:top w:val="nil"/>
              <w:left w:val="nil"/>
              <w:bottom w:val="nil"/>
              <w:right w:val="nil"/>
              <w:between w:val="nil"/>
            </w:pBdr>
            <w:spacing w:line="276" w:lineRule="auto"/>
            <w:rPr>
              <w:sz w:val="16"/>
              <w:szCs w:val="16"/>
            </w:rPr>
          </w:pPr>
        </w:p>
      </w:tc>
      <w:tc>
        <w:tcPr>
          <w:tcW w:w="2436" w:type="dxa"/>
          <w:tcBorders>
            <w:top w:val="single" w:sz="4" w:space="0" w:color="000000"/>
            <w:left w:val="single" w:sz="4" w:space="0" w:color="000000"/>
            <w:bottom w:val="single" w:sz="4" w:space="0" w:color="000000"/>
            <w:right w:val="single" w:sz="4" w:space="0" w:color="000000"/>
          </w:tcBorders>
          <w:vAlign w:val="center"/>
        </w:tcPr>
        <w:p w14:paraId="613147D2" w14:textId="77777777" w:rsidR="00BA755D" w:rsidRDefault="00B64724">
          <w:pPr>
            <w:pStyle w:val="LO-normal"/>
            <w:rPr>
              <w:sz w:val="16"/>
              <w:szCs w:val="16"/>
            </w:rPr>
          </w:pPr>
          <w:r>
            <w:rPr>
              <w:sz w:val="16"/>
              <w:szCs w:val="16"/>
            </w:rPr>
            <w:t>FECHA: 13 FEB. 2017</w:t>
          </w:r>
        </w:p>
      </w:tc>
    </w:tr>
  </w:tbl>
  <w:p w14:paraId="3A283901" w14:textId="77777777" w:rsidR="00BA755D" w:rsidRDefault="00BA755D">
    <w:pPr>
      <w:pStyle w:val="LO-normal"/>
      <w:tabs>
        <w:tab w:val="center" w:pos="4252"/>
        <w:tab w:val="right" w:pos="8504"/>
      </w:tabs>
      <w:rPr>
        <w:rFonts w:ascii="Arial" w:eastAsia="Arial" w:hAnsi="Arial"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B3615"/>
    <w:multiLevelType w:val="multilevel"/>
    <w:tmpl w:val="1CBE19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26C2A52"/>
    <w:multiLevelType w:val="multilevel"/>
    <w:tmpl w:val="91002C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6175D88"/>
    <w:multiLevelType w:val="multilevel"/>
    <w:tmpl w:val="C4B6FE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A2B271E"/>
    <w:multiLevelType w:val="multilevel"/>
    <w:tmpl w:val="D8749D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A833C48"/>
    <w:multiLevelType w:val="multilevel"/>
    <w:tmpl w:val="C13461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ADA5CD3"/>
    <w:multiLevelType w:val="multilevel"/>
    <w:tmpl w:val="8DB03C3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5"/>
  </w:num>
  <w:num w:numId="2">
    <w:abstractNumId w:val="2"/>
  </w:num>
  <w:num w:numId="3">
    <w:abstractNumId w:val="4"/>
  </w:num>
  <w:num w:numId="4">
    <w:abstractNumId w:val="0"/>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755D"/>
    <w:rsid w:val="00327F2A"/>
    <w:rsid w:val="005378D5"/>
    <w:rsid w:val="00625F80"/>
    <w:rsid w:val="00811B6C"/>
    <w:rsid w:val="00B64724"/>
    <w:rsid w:val="00BA755D"/>
    <w:rsid w:val="00F8560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7FA67"/>
  <w15:docId w15:val="{CB282030-6D3B-4FF6-94FE-71A3276E61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51F1"/>
    <w:rPr>
      <w:rFonts w:eastAsia="Noto Serif CJK SC" w:cs="Lohit Devanagari"/>
      <w:lang w:eastAsia="es-ES_tradnl" w:bidi="hi-IN"/>
    </w:rPr>
  </w:style>
  <w:style w:type="paragraph" w:styleId="Ttulo1">
    <w:name w:val="heading 1"/>
    <w:basedOn w:val="LO-normal"/>
    <w:next w:val="LO-normal"/>
    <w:link w:val="Ttulo1Car"/>
    <w:uiPriority w:val="9"/>
    <w:qFormat/>
    <w:rsid w:val="00AE7E3B"/>
    <w:pPr>
      <w:keepNext/>
      <w:jc w:val="center"/>
      <w:outlineLvl w:val="0"/>
    </w:pPr>
    <w:rPr>
      <w:szCs w:val="20"/>
      <w:lang w:val="es-MX" w:eastAsia="es-ES"/>
    </w:rPr>
  </w:style>
  <w:style w:type="paragraph" w:styleId="Ttulo2">
    <w:name w:val="heading 2"/>
    <w:basedOn w:val="LO-normal"/>
    <w:next w:val="LO-normal"/>
    <w:link w:val="Ttulo2Car"/>
    <w:uiPriority w:val="9"/>
    <w:unhideWhenUsed/>
    <w:qFormat/>
    <w:rsid w:val="00AE7E3B"/>
    <w:pPr>
      <w:keepNext/>
      <w:outlineLvl w:val="1"/>
    </w:pPr>
    <w:rPr>
      <w:szCs w:val="20"/>
      <w:lang w:val="es-MX" w:eastAsia="es-ES"/>
    </w:rPr>
  </w:style>
  <w:style w:type="paragraph" w:styleId="Ttulo3">
    <w:name w:val="heading 3"/>
    <w:basedOn w:val="LO-normal"/>
    <w:next w:val="LO-normal"/>
    <w:link w:val="Ttulo3Car"/>
    <w:uiPriority w:val="9"/>
    <w:unhideWhenUsed/>
    <w:qFormat/>
    <w:rsid w:val="00AB79F4"/>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LO-normal"/>
    <w:next w:val="LO-normal"/>
    <w:link w:val="Ttulo4Car"/>
    <w:uiPriority w:val="9"/>
    <w:unhideWhenUsed/>
    <w:qFormat/>
    <w:rsid w:val="00BD4F10"/>
    <w:pPr>
      <w:keepNext/>
      <w:spacing w:before="240" w:after="60"/>
      <w:outlineLvl w:val="3"/>
    </w:pPr>
    <w:rPr>
      <w:b/>
      <w:bCs/>
      <w:sz w:val="28"/>
      <w:szCs w:val="28"/>
      <w:lang w:eastAsia="es-ES"/>
    </w:rPr>
  </w:style>
  <w:style w:type="paragraph" w:styleId="Ttulo5">
    <w:name w:val="heading 5"/>
    <w:basedOn w:val="LO-normal"/>
    <w:next w:val="LO-normal"/>
    <w:link w:val="Ttulo5Car"/>
    <w:uiPriority w:val="9"/>
    <w:unhideWhenUsed/>
    <w:qFormat/>
    <w:rsid w:val="00776D41"/>
    <w:pPr>
      <w:keepNext/>
      <w:keepLines/>
      <w:spacing w:before="200"/>
      <w:outlineLvl w:val="4"/>
    </w:pPr>
    <w:rPr>
      <w:rFonts w:ascii="Cambria" w:hAnsi="Cambria"/>
      <w:color w:val="243F60"/>
      <w:szCs w:val="20"/>
      <w:lang w:eastAsia="es-ES"/>
    </w:rPr>
  </w:style>
  <w:style w:type="paragraph" w:styleId="Ttulo6">
    <w:name w:val="heading 6"/>
    <w:basedOn w:val="LO-normal"/>
    <w:next w:val="LO-normal"/>
    <w:link w:val="Ttulo6Car"/>
    <w:uiPriority w:val="9"/>
    <w:semiHidden/>
    <w:unhideWhenUsed/>
    <w:qFormat/>
    <w:rsid w:val="00A15AFB"/>
    <w:pPr>
      <w:keepNext/>
      <w:keepLines/>
      <w:spacing w:before="40"/>
      <w:outlineLvl w:val="5"/>
    </w:pPr>
    <w:rPr>
      <w:rFonts w:asciiTheme="majorHAnsi" w:eastAsiaTheme="majorEastAsia" w:hAnsiTheme="majorHAnsi" w:cstheme="majorBidi"/>
      <w:color w:val="243F60" w:themeColor="accent1" w:themeShade="7F"/>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LO-normal"/>
    <w:next w:val="Textoindependiente"/>
    <w:uiPriority w:val="10"/>
    <w:qFormat/>
    <w:pPr>
      <w:keepNext/>
      <w:keepLines/>
      <w:spacing w:before="480" w:after="120"/>
    </w:pPr>
    <w:rPr>
      <w:b/>
      <w:sz w:val="72"/>
      <w:szCs w:val="72"/>
    </w:rPr>
  </w:style>
  <w:style w:type="character" w:customStyle="1" w:styleId="Ttulo1Car">
    <w:name w:val="Título 1 Car"/>
    <w:basedOn w:val="Fuentedeprrafopredeter"/>
    <w:link w:val="Ttulo1"/>
    <w:uiPriority w:val="99"/>
    <w:qFormat/>
    <w:locked/>
    <w:rsid w:val="0078358A"/>
    <w:rPr>
      <w:rFonts w:ascii="Cambria" w:hAnsi="Cambria" w:cs="Times New Roman"/>
      <w:b/>
      <w:bCs/>
      <w:color w:val="000000"/>
      <w:kern w:val="2"/>
      <w:sz w:val="32"/>
      <w:szCs w:val="32"/>
    </w:rPr>
  </w:style>
  <w:style w:type="character" w:customStyle="1" w:styleId="Ttulo2Car">
    <w:name w:val="Título 2 Car"/>
    <w:basedOn w:val="Fuentedeprrafopredeter"/>
    <w:link w:val="Ttulo2"/>
    <w:uiPriority w:val="9"/>
    <w:qFormat/>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qFormat/>
    <w:locked/>
    <w:rsid w:val="00BD4F10"/>
    <w:rPr>
      <w:rFonts w:cs="Times New Roman"/>
      <w:b/>
      <w:sz w:val="28"/>
      <w:lang w:val="es-ES" w:eastAsia="es-ES"/>
    </w:rPr>
  </w:style>
  <w:style w:type="character" w:customStyle="1" w:styleId="Ttulo5Car">
    <w:name w:val="Título 5 Car"/>
    <w:basedOn w:val="Fuentedeprrafopredeter"/>
    <w:link w:val="Ttulo5"/>
    <w:uiPriority w:val="99"/>
    <w:semiHidden/>
    <w:qFormat/>
    <w:locked/>
    <w:rsid w:val="00776D41"/>
    <w:rPr>
      <w:rFonts w:ascii="Cambria" w:hAnsi="Cambria" w:cs="Times New Roman"/>
      <w:color w:val="243F60"/>
      <w:sz w:val="24"/>
      <w:lang w:val="es-ES" w:eastAsia="es-ES"/>
    </w:rPr>
  </w:style>
  <w:style w:type="character" w:customStyle="1" w:styleId="EncabezadoCar">
    <w:name w:val="Encabezado Car"/>
    <w:basedOn w:val="Fuentedeprrafopredeter"/>
    <w:link w:val="Encabezado"/>
    <w:qFormat/>
    <w:locked/>
    <w:rsid w:val="0078358A"/>
    <w:rPr>
      <w:rFonts w:ascii="Arial" w:hAnsi="Arial" w:cs="Times New Roman"/>
      <w:color w:val="000000"/>
      <w:sz w:val="20"/>
      <w:szCs w:val="20"/>
    </w:rPr>
  </w:style>
  <w:style w:type="character" w:customStyle="1" w:styleId="PiedepginaCar">
    <w:name w:val="Pie de página Car"/>
    <w:basedOn w:val="Fuentedeprrafopredeter"/>
    <w:link w:val="Piedepgina"/>
    <w:uiPriority w:val="99"/>
    <w:qFormat/>
    <w:locked/>
    <w:rsid w:val="0078358A"/>
    <w:rPr>
      <w:rFonts w:ascii="Arial" w:hAnsi="Arial" w:cs="Times New Roman"/>
      <w:color w:val="000000"/>
      <w:sz w:val="20"/>
      <w:szCs w:val="20"/>
    </w:rPr>
  </w:style>
  <w:style w:type="character" w:customStyle="1" w:styleId="TextoindependienteCar">
    <w:name w:val="Texto independiente Car"/>
    <w:basedOn w:val="Fuentedeprrafopredeter"/>
    <w:link w:val="Textoindependiente"/>
    <w:uiPriority w:val="99"/>
    <w:qFormat/>
    <w:locked/>
    <w:rsid w:val="0078358A"/>
    <w:rPr>
      <w:rFonts w:ascii="Arial" w:hAnsi="Arial" w:cs="Times New Roman"/>
      <w:color w:val="000000"/>
      <w:sz w:val="20"/>
      <w:szCs w:val="20"/>
    </w:rPr>
  </w:style>
  <w:style w:type="character" w:styleId="Refdecomentario">
    <w:name w:val="annotation reference"/>
    <w:basedOn w:val="Fuentedeprrafopredeter"/>
    <w:uiPriority w:val="99"/>
    <w:qFormat/>
    <w:rsid w:val="00AE7E3B"/>
    <w:rPr>
      <w:rFonts w:cs="Times New Roman"/>
      <w:sz w:val="16"/>
    </w:rPr>
  </w:style>
  <w:style w:type="character" w:customStyle="1" w:styleId="TextocomentarioCar">
    <w:name w:val="Texto comentario Car"/>
    <w:basedOn w:val="Fuentedeprrafopredeter"/>
    <w:link w:val="Textocomentario"/>
    <w:uiPriority w:val="99"/>
    <w:qFormat/>
    <w:locked/>
    <w:rsid w:val="0078358A"/>
    <w:rPr>
      <w:rFonts w:ascii="Arial" w:hAnsi="Arial" w:cs="Times New Roman"/>
      <w:color w:val="000000"/>
      <w:sz w:val="20"/>
      <w:szCs w:val="20"/>
    </w:rPr>
  </w:style>
  <w:style w:type="character" w:customStyle="1" w:styleId="EnlacedeInternet">
    <w:name w:val="Enlace de Internet"/>
    <w:basedOn w:val="Fuentedeprrafopredeter"/>
    <w:uiPriority w:val="99"/>
    <w:rsid w:val="000844A8"/>
    <w:rPr>
      <w:rFonts w:cs="Times New Roman"/>
      <w:color w:val="0000FF"/>
      <w:u w:val="single"/>
    </w:rPr>
  </w:style>
  <w:style w:type="character" w:styleId="Nmerodepgina">
    <w:name w:val="page number"/>
    <w:basedOn w:val="Fuentedeprrafopredeter"/>
    <w:uiPriority w:val="99"/>
    <w:qFormat/>
    <w:rsid w:val="00AD4793"/>
    <w:rPr>
      <w:rFonts w:cs="Times New Roman"/>
    </w:rPr>
  </w:style>
  <w:style w:type="character" w:customStyle="1" w:styleId="Textoindependiente2Car">
    <w:name w:val="Texto independiente 2 Car"/>
    <w:basedOn w:val="Fuentedeprrafopredeter"/>
    <w:link w:val="Textoindependiente2"/>
    <w:uiPriority w:val="99"/>
    <w:semiHidden/>
    <w:qFormat/>
    <w:locked/>
    <w:rsid w:val="0078358A"/>
    <w:rPr>
      <w:rFonts w:ascii="Arial" w:hAnsi="Arial" w:cs="Times New Roman"/>
      <w:color w:val="000000"/>
      <w:sz w:val="20"/>
      <w:szCs w:val="20"/>
    </w:rPr>
  </w:style>
  <w:style w:type="character" w:customStyle="1" w:styleId="Textoindependiente3Car">
    <w:name w:val="Texto independiente 3 Car"/>
    <w:basedOn w:val="Fuentedeprrafopredeter"/>
    <w:link w:val="Textoindependiente3"/>
    <w:uiPriority w:val="99"/>
    <w:semiHidden/>
    <w:qFormat/>
    <w:locked/>
    <w:rsid w:val="0078358A"/>
    <w:rPr>
      <w:rFonts w:ascii="Arial" w:hAnsi="Arial" w:cs="Times New Roman"/>
      <w:color w:val="000000"/>
      <w:sz w:val="16"/>
      <w:szCs w:val="16"/>
    </w:rPr>
  </w:style>
  <w:style w:type="character" w:customStyle="1" w:styleId="TextodegloboCar">
    <w:name w:val="Texto de globo Car"/>
    <w:basedOn w:val="Fuentedeprrafopredeter"/>
    <w:link w:val="Textodeglobo"/>
    <w:uiPriority w:val="99"/>
    <w:semiHidden/>
    <w:qFormat/>
    <w:locked/>
    <w:rsid w:val="0078358A"/>
    <w:rPr>
      <w:rFonts w:cs="Times New Roman"/>
      <w:color w:val="000000"/>
      <w:sz w:val="2"/>
    </w:rPr>
  </w:style>
  <w:style w:type="character" w:customStyle="1" w:styleId="TextonotapieCar">
    <w:name w:val="Texto nota pie Car"/>
    <w:basedOn w:val="Fuentedeprrafopredeter"/>
    <w:link w:val="Textonotapie"/>
    <w:uiPriority w:val="99"/>
    <w:qFormat/>
    <w:rsid w:val="00C80411"/>
    <w:rPr>
      <w:rFonts w:ascii="Arial" w:hAnsi="Arial" w:cs="Arial"/>
      <w:color w:val="000000"/>
    </w:rPr>
  </w:style>
  <w:style w:type="character" w:customStyle="1" w:styleId="Ancladenotaalpie">
    <w:name w:val="Ancla de nota al pie"/>
    <w:rPr>
      <w:vertAlign w:val="superscript"/>
    </w:rPr>
  </w:style>
  <w:style w:type="character" w:customStyle="1" w:styleId="FootnoteCharacters">
    <w:name w:val="Footnote Characters"/>
    <w:basedOn w:val="Fuentedeprrafopredeter"/>
    <w:uiPriority w:val="99"/>
    <w:unhideWhenUsed/>
    <w:qFormat/>
    <w:rsid w:val="00C80411"/>
    <w:rPr>
      <w:vertAlign w:val="superscript"/>
    </w:rPr>
  </w:style>
  <w:style w:type="character" w:styleId="Textoennegrita">
    <w:name w:val="Strong"/>
    <w:basedOn w:val="Fuentedeprrafopredeter"/>
    <w:uiPriority w:val="22"/>
    <w:qFormat/>
    <w:locked/>
    <w:rsid w:val="0094761C"/>
    <w:rPr>
      <w:b/>
      <w:bCs/>
    </w:rPr>
  </w:style>
  <w:style w:type="character" w:customStyle="1" w:styleId="apple-converted-space">
    <w:name w:val="apple-converted-space"/>
    <w:basedOn w:val="Fuentedeprrafopredeter"/>
    <w:qFormat/>
    <w:rsid w:val="0094761C"/>
  </w:style>
  <w:style w:type="character" w:customStyle="1" w:styleId="Destacado">
    <w:name w:val="Destacado"/>
    <w:basedOn w:val="Fuentedeprrafopredeter"/>
    <w:uiPriority w:val="20"/>
    <w:qFormat/>
    <w:locked/>
    <w:rsid w:val="001B27E5"/>
    <w:rPr>
      <w:b/>
      <w:bCs/>
      <w:i w:val="0"/>
      <w:iCs w:val="0"/>
    </w:rPr>
  </w:style>
  <w:style w:type="character" w:customStyle="1" w:styleId="st1">
    <w:name w:val="st1"/>
    <w:basedOn w:val="Fuentedeprrafopredeter"/>
    <w:qFormat/>
    <w:rsid w:val="001B27E5"/>
  </w:style>
  <w:style w:type="character" w:customStyle="1" w:styleId="yiv4382385530">
    <w:name w:val="yiv4382385530"/>
    <w:basedOn w:val="Fuentedeprrafopredeter"/>
    <w:qFormat/>
    <w:rsid w:val="00844E0C"/>
  </w:style>
  <w:style w:type="character" w:customStyle="1" w:styleId="st">
    <w:name w:val="st"/>
    <w:basedOn w:val="Fuentedeprrafopredeter"/>
    <w:qFormat/>
    <w:rsid w:val="00747448"/>
  </w:style>
  <w:style w:type="character" w:customStyle="1" w:styleId="TextonotaalfinalCar">
    <w:name w:val="Texto nota al final Car"/>
    <w:basedOn w:val="Fuentedeprrafopredeter"/>
    <w:link w:val="Textonotaalfinal"/>
    <w:uiPriority w:val="99"/>
    <w:semiHidden/>
    <w:qFormat/>
    <w:rsid w:val="002F7615"/>
    <w:rPr>
      <w:rFonts w:ascii="Arial" w:hAnsi="Arial"/>
      <w:color w:val="000000"/>
    </w:rPr>
  </w:style>
  <w:style w:type="character" w:customStyle="1" w:styleId="Ancladenotafinal">
    <w:name w:val="Ancla de nota final"/>
    <w:rPr>
      <w:vertAlign w:val="superscript"/>
    </w:rPr>
  </w:style>
  <w:style w:type="character" w:customStyle="1" w:styleId="EndnoteCharacters">
    <w:name w:val="Endnote Characters"/>
    <w:basedOn w:val="Fuentedeprrafopredeter"/>
    <w:uiPriority w:val="99"/>
    <w:semiHidden/>
    <w:unhideWhenUsed/>
    <w:qFormat/>
    <w:rsid w:val="002F7615"/>
    <w:rPr>
      <w:vertAlign w:val="superscript"/>
    </w:rPr>
  </w:style>
  <w:style w:type="character" w:customStyle="1" w:styleId="Ttulo3Car">
    <w:name w:val="Título 3 Car"/>
    <w:basedOn w:val="Fuentedeprrafopredeter"/>
    <w:link w:val="Ttulo3"/>
    <w:semiHidden/>
    <w:qFormat/>
    <w:rsid w:val="00AB79F4"/>
    <w:rPr>
      <w:rFonts w:asciiTheme="majorHAnsi" w:eastAsiaTheme="majorEastAsia" w:hAnsiTheme="majorHAnsi" w:cstheme="majorBidi"/>
      <w:color w:val="243F60" w:themeColor="accent1" w:themeShade="7F"/>
      <w:sz w:val="24"/>
      <w:szCs w:val="24"/>
    </w:rPr>
  </w:style>
  <w:style w:type="character" w:customStyle="1" w:styleId="EnlacedeInternetvisitado">
    <w:name w:val="Enlace de Internet visitado"/>
    <w:basedOn w:val="Fuentedeprrafopredeter"/>
    <w:uiPriority w:val="99"/>
    <w:semiHidden/>
    <w:unhideWhenUsed/>
    <w:rsid w:val="00725607"/>
    <w:rPr>
      <w:color w:val="800080" w:themeColor="followedHyperlink"/>
      <w:u w:val="single"/>
    </w:rPr>
  </w:style>
  <w:style w:type="character" w:customStyle="1" w:styleId="Ttulo6Car">
    <w:name w:val="Título 6 Car"/>
    <w:basedOn w:val="Fuentedeprrafopredeter"/>
    <w:link w:val="Ttulo6"/>
    <w:qFormat/>
    <w:rsid w:val="00A15AFB"/>
    <w:rPr>
      <w:rFonts w:asciiTheme="majorHAnsi" w:eastAsiaTheme="majorEastAsia" w:hAnsiTheme="majorHAnsi" w:cstheme="majorBidi"/>
      <w:color w:val="243F60" w:themeColor="accent1" w:themeShade="7F"/>
      <w:sz w:val="24"/>
    </w:rPr>
  </w:style>
  <w:style w:type="character" w:customStyle="1" w:styleId="CharAttribute7">
    <w:name w:val="CharAttribute7"/>
    <w:qFormat/>
    <w:rsid w:val="008F3A36"/>
    <w:rPr>
      <w:rFonts w:ascii="Arial" w:eastAsia="Times New Roman" w:hAnsi="Arial"/>
      <w:b/>
      <w:sz w:val="24"/>
    </w:rPr>
  </w:style>
  <w:style w:type="character" w:customStyle="1" w:styleId="PrrafodelistaCar">
    <w:name w:val="Párrafo de lista Car"/>
    <w:link w:val="Prrafodelista"/>
    <w:uiPriority w:val="34"/>
    <w:qFormat/>
    <w:rsid w:val="001F654E"/>
    <w:rPr>
      <w:rFonts w:ascii="Arial" w:hAnsi="Arial"/>
      <w:color w:val="000000"/>
      <w:sz w:val="24"/>
    </w:rPr>
  </w:style>
  <w:style w:type="character" w:customStyle="1" w:styleId="Bodytext2">
    <w:name w:val="Body text (2)_"/>
    <w:basedOn w:val="Fuentedeprrafopredeter"/>
    <w:link w:val="Bodytext20"/>
    <w:qFormat/>
    <w:rsid w:val="00F41697"/>
    <w:rPr>
      <w:rFonts w:ascii="Arial" w:eastAsia="Arial" w:hAnsi="Arial" w:cs="Arial"/>
      <w:shd w:val="clear" w:color="auto" w:fill="FFFFFF"/>
    </w:rPr>
  </w:style>
  <w:style w:type="character" w:customStyle="1" w:styleId="NormalWebCar">
    <w:name w:val="Normal (Web) Car"/>
    <w:link w:val="NormalWeb"/>
    <w:uiPriority w:val="99"/>
    <w:qFormat/>
    <w:locked/>
    <w:rsid w:val="006E2ECC"/>
    <w:rPr>
      <w:sz w:val="24"/>
      <w:szCs w:val="24"/>
      <w:lang w:val="es-CO" w:eastAsia="es-CO"/>
    </w:rPr>
  </w:style>
  <w:style w:type="character" w:customStyle="1" w:styleId="spelle">
    <w:name w:val="spelle"/>
    <w:basedOn w:val="Fuentedeprrafopredeter"/>
    <w:qFormat/>
    <w:rsid w:val="00C62B97"/>
  </w:style>
  <w:style w:type="character" w:customStyle="1" w:styleId="baj">
    <w:name w:val="b_aj"/>
    <w:basedOn w:val="Fuentedeprrafopredeter"/>
    <w:qFormat/>
    <w:rsid w:val="00B72922"/>
  </w:style>
  <w:style w:type="character" w:customStyle="1" w:styleId="Mencinsinresolver1">
    <w:name w:val="Mención sin resolver1"/>
    <w:basedOn w:val="Fuentedeprrafopredeter"/>
    <w:uiPriority w:val="99"/>
    <w:semiHidden/>
    <w:unhideWhenUsed/>
    <w:qFormat/>
    <w:rsid w:val="007D5442"/>
    <w:rPr>
      <w:color w:val="605E5C"/>
      <w:shd w:val="clear" w:color="auto" w:fill="E1DFDD"/>
    </w:rPr>
  </w:style>
  <w:style w:type="character" w:customStyle="1" w:styleId="Enlacedelndice">
    <w:name w:val="Enlace del índice"/>
    <w:qFormat/>
  </w:style>
  <w:style w:type="character" w:customStyle="1" w:styleId="Caracteresdenotaalpie">
    <w:name w:val="Caracteres de nota al pie"/>
    <w:qFormat/>
  </w:style>
  <w:style w:type="character" w:customStyle="1" w:styleId="Caracteresdenotafinal">
    <w:name w:val="Caracteres de nota final"/>
    <w:qFormat/>
  </w:style>
  <w:style w:type="character" w:customStyle="1" w:styleId="Muydestacado">
    <w:name w:val="Muy destacado"/>
    <w:qFormat/>
    <w:rPr>
      <w:b/>
      <w:bCs/>
    </w:rPr>
  </w:style>
  <w:style w:type="character" w:customStyle="1" w:styleId="Vietas">
    <w:name w:val="Viñetas"/>
    <w:qFormat/>
    <w:rPr>
      <w:rFonts w:ascii="OpenSymbol" w:eastAsia="OpenSymbol" w:hAnsi="OpenSymbol" w:cs="OpenSymbol"/>
    </w:rPr>
  </w:style>
  <w:style w:type="paragraph" w:styleId="Textoindependiente">
    <w:name w:val="Body Text"/>
    <w:basedOn w:val="LO-normal"/>
    <w:link w:val="TextoindependienteCar"/>
    <w:uiPriority w:val="99"/>
    <w:rsid w:val="00AE7E3B"/>
    <w:pPr>
      <w:jc w:val="both"/>
    </w:pPr>
    <w:rPr>
      <w:szCs w:val="20"/>
      <w:lang w:val="es-MX" w:eastAsia="es-ES"/>
    </w:rPr>
  </w:style>
  <w:style w:type="paragraph" w:styleId="Lista">
    <w:name w:val="List"/>
    <w:basedOn w:val="Textoindependiente"/>
  </w:style>
  <w:style w:type="paragraph" w:styleId="Descripcin">
    <w:name w:val="caption"/>
    <w:basedOn w:val="Normal"/>
    <w:qFormat/>
    <w:pPr>
      <w:suppressLineNumbers/>
      <w:spacing w:before="120" w:after="120"/>
    </w:pPr>
    <w:rPr>
      <w:i/>
      <w:iCs/>
    </w:rPr>
  </w:style>
  <w:style w:type="paragraph" w:customStyle="1" w:styleId="ndice">
    <w:name w:val="Índice"/>
    <w:basedOn w:val="Normal"/>
    <w:qFormat/>
    <w:pPr>
      <w:suppressLineNumbers/>
    </w:pPr>
  </w:style>
  <w:style w:type="paragraph" w:customStyle="1" w:styleId="LO-normal">
    <w:name w:val="LO-normal"/>
    <w:qFormat/>
    <w:rPr>
      <w:rFonts w:eastAsia="Noto Serif CJK SC" w:cs="Lohit Devanagari"/>
      <w:lang w:eastAsia="zh-CN" w:bidi="hi-IN"/>
    </w:rPr>
  </w:style>
  <w:style w:type="paragraph" w:customStyle="1" w:styleId="Cabeceraypie">
    <w:name w:val="Cabecera y pie"/>
    <w:basedOn w:val="Normal"/>
    <w:qFormat/>
  </w:style>
  <w:style w:type="paragraph" w:styleId="Encabezado">
    <w:name w:val="header"/>
    <w:basedOn w:val="LO-normal"/>
    <w:link w:val="EncabezadoCar"/>
    <w:rsid w:val="00AE7E3B"/>
    <w:pPr>
      <w:tabs>
        <w:tab w:val="center" w:pos="4252"/>
        <w:tab w:val="right" w:pos="8504"/>
      </w:tabs>
    </w:pPr>
    <w:rPr>
      <w:rFonts w:ascii="Arial" w:hAnsi="Arial"/>
      <w:color w:val="000000"/>
      <w:szCs w:val="20"/>
      <w:lang w:eastAsia="es-ES"/>
    </w:rPr>
  </w:style>
  <w:style w:type="paragraph" w:styleId="Piedepgina">
    <w:name w:val="footer"/>
    <w:basedOn w:val="LO-normal"/>
    <w:link w:val="PiedepginaCar"/>
    <w:uiPriority w:val="99"/>
    <w:rsid w:val="00AE7E3B"/>
    <w:pPr>
      <w:tabs>
        <w:tab w:val="center" w:pos="4252"/>
        <w:tab w:val="right" w:pos="8504"/>
      </w:tabs>
    </w:pPr>
    <w:rPr>
      <w:rFonts w:ascii="Arial" w:hAnsi="Arial"/>
      <w:color w:val="000000"/>
      <w:szCs w:val="20"/>
      <w:lang w:eastAsia="es-ES"/>
    </w:rPr>
  </w:style>
  <w:style w:type="paragraph" w:styleId="Textocomentario">
    <w:name w:val="annotation text"/>
    <w:basedOn w:val="LO-normal"/>
    <w:link w:val="TextocomentarioCar"/>
    <w:uiPriority w:val="99"/>
    <w:qFormat/>
    <w:rsid w:val="00AE7E3B"/>
    <w:rPr>
      <w:rFonts w:ascii="Arial" w:hAnsi="Arial"/>
      <w:color w:val="000000"/>
      <w:sz w:val="20"/>
      <w:szCs w:val="20"/>
      <w:lang w:eastAsia="es-ES"/>
    </w:rPr>
  </w:style>
  <w:style w:type="paragraph" w:styleId="Textoindependiente2">
    <w:name w:val="Body Text 2"/>
    <w:basedOn w:val="LO-normal"/>
    <w:link w:val="Textoindependiente2Car"/>
    <w:uiPriority w:val="99"/>
    <w:qFormat/>
    <w:rsid w:val="007B133B"/>
    <w:pPr>
      <w:spacing w:after="120" w:line="480" w:lineRule="auto"/>
    </w:pPr>
    <w:rPr>
      <w:lang w:eastAsia="es-ES"/>
    </w:rPr>
  </w:style>
  <w:style w:type="paragraph" w:styleId="Textoindependiente3">
    <w:name w:val="Body Text 3"/>
    <w:basedOn w:val="LO-normal"/>
    <w:link w:val="Textoindependiente3Car"/>
    <w:uiPriority w:val="99"/>
    <w:qFormat/>
    <w:rsid w:val="00840C8F"/>
    <w:pPr>
      <w:spacing w:after="120"/>
    </w:pPr>
    <w:rPr>
      <w:rFonts w:ascii="Arial" w:hAnsi="Arial"/>
      <w:color w:val="000000"/>
      <w:sz w:val="16"/>
      <w:szCs w:val="16"/>
      <w:lang w:eastAsia="es-ES"/>
    </w:rPr>
  </w:style>
  <w:style w:type="paragraph" w:styleId="Textodeglobo">
    <w:name w:val="Balloon Text"/>
    <w:basedOn w:val="LO-normal"/>
    <w:link w:val="TextodegloboCar"/>
    <w:uiPriority w:val="99"/>
    <w:semiHidden/>
    <w:qFormat/>
    <w:rsid w:val="00DD7435"/>
    <w:rPr>
      <w:rFonts w:ascii="Tahoma" w:hAnsi="Tahoma" w:cs="Tahoma"/>
      <w:sz w:val="16"/>
      <w:szCs w:val="16"/>
    </w:rPr>
  </w:style>
  <w:style w:type="paragraph" w:styleId="Prrafodelista">
    <w:name w:val="List Paragraph"/>
    <w:basedOn w:val="LO-normal"/>
    <w:link w:val="PrrafodelistaCar"/>
    <w:uiPriority w:val="34"/>
    <w:qFormat/>
    <w:rsid w:val="005C3311"/>
    <w:pPr>
      <w:ind w:left="708"/>
    </w:pPr>
    <w:rPr>
      <w:rFonts w:ascii="Arial" w:hAnsi="Arial"/>
      <w:color w:val="000000"/>
      <w:szCs w:val="20"/>
      <w:lang w:eastAsia="es-ES"/>
    </w:rPr>
  </w:style>
  <w:style w:type="paragraph" w:customStyle="1" w:styleId="Tabla">
    <w:name w:val="Tabla"/>
    <w:basedOn w:val="LO-normal"/>
    <w:autoRedefine/>
    <w:uiPriority w:val="99"/>
    <w:qFormat/>
    <w:rsid w:val="006F04EF"/>
    <w:pPr>
      <w:spacing w:before="40" w:after="40"/>
      <w:ind w:left="4" w:hanging="4"/>
    </w:pPr>
    <w:rPr>
      <w:rFonts w:ascii="Arial" w:hAnsi="Arial"/>
      <w:b/>
      <w:color w:val="000000"/>
      <w:sz w:val="20"/>
      <w:szCs w:val="20"/>
      <w:lang w:val="en-GB" w:eastAsia="en-US"/>
    </w:rPr>
  </w:style>
  <w:style w:type="paragraph" w:styleId="Sinespaciado">
    <w:name w:val="No Spacing"/>
    <w:uiPriority w:val="1"/>
    <w:qFormat/>
    <w:rsid w:val="00C80411"/>
    <w:rPr>
      <w:rFonts w:ascii="Calibri" w:eastAsia="Calibri" w:hAnsi="Calibri" w:cs="Calibri"/>
      <w:sz w:val="22"/>
      <w:szCs w:val="22"/>
      <w:lang w:val="es-CO" w:eastAsia="en-US" w:bidi="hi-IN"/>
    </w:rPr>
  </w:style>
  <w:style w:type="paragraph" w:styleId="Textonotapie">
    <w:name w:val="footnote text"/>
    <w:basedOn w:val="LO-normal"/>
    <w:link w:val="TextonotapieCar"/>
    <w:uiPriority w:val="99"/>
    <w:unhideWhenUsed/>
    <w:rsid w:val="00C80411"/>
    <w:rPr>
      <w:rFonts w:ascii="Arial" w:hAnsi="Arial" w:cs="Arial"/>
      <w:color w:val="000000"/>
      <w:sz w:val="20"/>
      <w:szCs w:val="20"/>
      <w:lang w:eastAsia="es-ES"/>
    </w:rPr>
  </w:style>
  <w:style w:type="paragraph" w:styleId="NormalWeb">
    <w:name w:val="Normal (Web)"/>
    <w:basedOn w:val="LO-normal"/>
    <w:link w:val="NormalWebCar"/>
    <w:uiPriority w:val="99"/>
    <w:qFormat/>
    <w:rsid w:val="00C80411"/>
    <w:pPr>
      <w:spacing w:beforeAutospacing="1" w:afterAutospacing="1"/>
    </w:pPr>
    <w:rPr>
      <w:lang w:val="es-CO" w:eastAsia="es-CO"/>
    </w:rPr>
  </w:style>
  <w:style w:type="paragraph" w:customStyle="1" w:styleId="yiv0616023664msonormal">
    <w:name w:val="yiv0616023664msonormal"/>
    <w:basedOn w:val="LO-normal"/>
    <w:qFormat/>
    <w:rsid w:val="008C0EB3"/>
    <w:pPr>
      <w:spacing w:beforeAutospacing="1" w:afterAutospacing="1"/>
    </w:pPr>
    <w:rPr>
      <w:lang w:val="es-CO" w:eastAsia="es-CO"/>
    </w:rPr>
  </w:style>
  <w:style w:type="paragraph" w:customStyle="1" w:styleId="Default">
    <w:name w:val="Default"/>
    <w:qFormat/>
    <w:rsid w:val="00C0651D"/>
    <w:rPr>
      <w:rFonts w:ascii="Arial" w:eastAsia="Noto Serif CJK SC" w:hAnsi="Arial" w:cs="Arial"/>
      <w:color w:val="000000"/>
      <w:lang w:val="es-CO" w:eastAsia="zh-CN" w:bidi="hi-IN"/>
    </w:rPr>
  </w:style>
  <w:style w:type="paragraph" w:customStyle="1" w:styleId="Normal2">
    <w:name w:val="Normal2"/>
    <w:basedOn w:val="LO-normal"/>
    <w:qFormat/>
    <w:rsid w:val="008B0375"/>
    <w:pPr>
      <w:ind w:left="900"/>
      <w:jc w:val="both"/>
    </w:pPr>
    <w:rPr>
      <w:rFonts w:ascii="Arial" w:hAnsi="Arial"/>
      <w:sz w:val="22"/>
      <w:lang w:val="es-MX" w:eastAsia="es-ES"/>
    </w:rPr>
  </w:style>
  <w:style w:type="paragraph" w:customStyle="1" w:styleId="Textonotapie1">
    <w:name w:val="Texto nota pie1"/>
    <w:basedOn w:val="LO-normal"/>
    <w:qFormat/>
    <w:rsid w:val="00122C3B"/>
    <w:pPr>
      <w:suppressAutoHyphens/>
    </w:pPr>
    <w:rPr>
      <w:rFonts w:ascii="Bookman Old Style" w:hAnsi="Bookman Old Style" w:cs="Bookman Old Style"/>
      <w:kern w:val="2"/>
      <w:sz w:val="20"/>
      <w:szCs w:val="20"/>
      <w:lang w:val="en-US" w:eastAsia="ar-SA"/>
    </w:rPr>
  </w:style>
  <w:style w:type="paragraph" w:customStyle="1" w:styleId="Textonotapie11">
    <w:name w:val="Texto nota pie11"/>
    <w:basedOn w:val="LO-normal"/>
    <w:qFormat/>
    <w:rsid w:val="00122C3B"/>
    <w:pPr>
      <w:suppressAutoHyphens/>
      <w:textAlignment w:val="baseline"/>
    </w:pPr>
    <w:rPr>
      <w:rFonts w:ascii="Bookman Old Style" w:hAnsi="Bookman Old Style" w:cs="Bookman Old Style"/>
      <w:kern w:val="2"/>
      <w:sz w:val="20"/>
      <w:szCs w:val="20"/>
      <w:lang w:val="en-US" w:eastAsia="ar-SA"/>
    </w:rPr>
  </w:style>
  <w:style w:type="paragraph" w:styleId="Textonotaalfinal">
    <w:name w:val="endnote text"/>
    <w:basedOn w:val="LO-normal"/>
    <w:link w:val="TextonotaalfinalCar"/>
    <w:uiPriority w:val="99"/>
    <w:semiHidden/>
    <w:unhideWhenUsed/>
    <w:rsid w:val="002F7615"/>
    <w:rPr>
      <w:sz w:val="20"/>
    </w:rPr>
  </w:style>
  <w:style w:type="paragraph" w:customStyle="1" w:styleId="Bodytext20">
    <w:name w:val="Body text (2)"/>
    <w:basedOn w:val="LO-normal"/>
    <w:link w:val="Bodytext2"/>
    <w:qFormat/>
    <w:rsid w:val="00F41697"/>
    <w:pPr>
      <w:widowControl w:val="0"/>
      <w:shd w:val="clear" w:color="auto" w:fill="FFFFFF"/>
      <w:spacing w:after="780" w:line="274" w:lineRule="exact"/>
      <w:jc w:val="center"/>
    </w:pPr>
    <w:rPr>
      <w:rFonts w:ascii="Arial" w:eastAsia="Arial" w:hAnsi="Arial" w:cs="Arial"/>
      <w:sz w:val="20"/>
      <w:szCs w:val="20"/>
      <w:lang w:eastAsia="es-ES"/>
    </w:rPr>
  </w:style>
  <w:style w:type="paragraph" w:customStyle="1" w:styleId="cuadrculamedia2-nfasis11">
    <w:name w:val="cuadrculamedia2-nfasis11"/>
    <w:basedOn w:val="LO-normal"/>
    <w:qFormat/>
    <w:rsid w:val="00DE158C"/>
    <w:pPr>
      <w:spacing w:beforeAutospacing="1" w:afterAutospacing="1"/>
    </w:pPr>
    <w:rPr>
      <w:lang w:val="es-CO" w:eastAsia="es-CO"/>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TtuloTDC">
    <w:name w:val="TOC Heading"/>
    <w:basedOn w:val="Ttulo1"/>
    <w:next w:val="LO-normal"/>
    <w:uiPriority w:val="39"/>
    <w:unhideWhenUsed/>
    <w:qFormat/>
    <w:rsid w:val="00E65516"/>
    <w:pPr>
      <w:keepLines/>
      <w:spacing w:before="240" w:line="259" w:lineRule="auto"/>
      <w:jc w:val="left"/>
    </w:pPr>
    <w:rPr>
      <w:rFonts w:asciiTheme="majorHAnsi" w:eastAsiaTheme="majorEastAsia" w:hAnsiTheme="majorHAnsi" w:cstheme="majorBidi"/>
      <w:color w:val="365F91" w:themeColor="accent1" w:themeShade="BF"/>
      <w:sz w:val="32"/>
      <w:szCs w:val="32"/>
      <w:lang w:val="es-CO" w:eastAsia="es-CO"/>
    </w:rPr>
  </w:style>
  <w:style w:type="paragraph" w:styleId="TDC2">
    <w:name w:val="toc 2"/>
    <w:basedOn w:val="LO-normal"/>
    <w:next w:val="LO-normal"/>
    <w:autoRedefine/>
    <w:uiPriority w:val="39"/>
    <w:unhideWhenUsed/>
    <w:rsid w:val="00E65516"/>
    <w:pPr>
      <w:spacing w:after="100" w:line="259" w:lineRule="auto"/>
      <w:ind w:left="220"/>
    </w:pPr>
    <w:rPr>
      <w:rFonts w:asciiTheme="minorHAnsi" w:eastAsiaTheme="minorEastAsia" w:hAnsiTheme="minorHAnsi"/>
      <w:sz w:val="22"/>
      <w:szCs w:val="22"/>
      <w:lang w:val="es-CO" w:eastAsia="es-CO"/>
    </w:rPr>
  </w:style>
  <w:style w:type="paragraph" w:styleId="TDC1">
    <w:name w:val="toc 1"/>
    <w:basedOn w:val="LO-normal"/>
    <w:next w:val="LO-normal"/>
    <w:autoRedefine/>
    <w:uiPriority w:val="39"/>
    <w:unhideWhenUsed/>
    <w:rsid w:val="004A2126"/>
    <w:pPr>
      <w:tabs>
        <w:tab w:val="right" w:leader="dot" w:pos="9062"/>
      </w:tabs>
      <w:spacing w:after="100" w:line="259" w:lineRule="auto"/>
    </w:pPr>
    <w:rPr>
      <w:rFonts w:ascii="Arial" w:eastAsiaTheme="minorEastAsia" w:hAnsi="Arial" w:cs="Arial"/>
      <w:b/>
      <w:bCs/>
      <w:color w:val="000000" w:themeColor="text1"/>
      <w:lang w:val="es-CO" w:eastAsia="es-CO"/>
    </w:rPr>
  </w:style>
  <w:style w:type="paragraph" w:styleId="TDC3">
    <w:name w:val="toc 3"/>
    <w:basedOn w:val="LO-normal"/>
    <w:next w:val="LO-normal"/>
    <w:autoRedefine/>
    <w:uiPriority w:val="39"/>
    <w:unhideWhenUsed/>
    <w:rsid w:val="00E65516"/>
    <w:pPr>
      <w:spacing w:after="100" w:line="259" w:lineRule="auto"/>
      <w:ind w:left="440"/>
    </w:pPr>
    <w:rPr>
      <w:rFonts w:asciiTheme="minorHAnsi" w:eastAsiaTheme="minorEastAsia" w:hAnsiTheme="minorHAnsi"/>
      <w:sz w:val="22"/>
      <w:szCs w:val="22"/>
      <w:lang w:val="es-CO" w:eastAsia="es-CO"/>
    </w:rPr>
  </w:style>
  <w:style w:type="paragraph" w:styleId="TDC4">
    <w:name w:val="toc 4"/>
    <w:basedOn w:val="LO-normal"/>
    <w:next w:val="LO-normal"/>
    <w:autoRedefine/>
    <w:uiPriority w:val="39"/>
    <w:unhideWhenUsed/>
    <w:rsid w:val="006934D2"/>
    <w:pPr>
      <w:spacing w:after="100"/>
      <w:ind w:left="720"/>
    </w:pPr>
  </w:style>
  <w:style w:type="paragraph" w:styleId="TDC5">
    <w:name w:val="toc 5"/>
    <w:basedOn w:val="LO-normal"/>
    <w:next w:val="LO-normal"/>
    <w:autoRedefine/>
    <w:uiPriority w:val="39"/>
    <w:unhideWhenUsed/>
    <w:rsid w:val="006934D2"/>
    <w:pPr>
      <w:spacing w:after="100"/>
      <w:ind w:left="960"/>
    </w:pPr>
  </w:style>
  <w:style w:type="paragraph" w:styleId="TDC6">
    <w:name w:val="toc 6"/>
    <w:basedOn w:val="LO-normal"/>
    <w:next w:val="LO-normal"/>
    <w:autoRedefine/>
    <w:uiPriority w:val="39"/>
    <w:unhideWhenUsed/>
    <w:rsid w:val="006934D2"/>
    <w:pPr>
      <w:spacing w:after="100"/>
      <w:ind w:left="1200"/>
    </w:pPr>
  </w:style>
  <w:style w:type="paragraph" w:customStyle="1" w:styleId="Contenidodelmarco">
    <w:name w:val="Contenido del marco"/>
    <w:basedOn w:val="Normal"/>
    <w:qFormat/>
  </w:style>
  <w:style w:type="paragraph" w:styleId="Cita">
    <w:name w:val="Quote"/>
    <w:basedOn w:val="Normal"/>
    <w:qFormat/>
    <w:pPr>
      <w:spacing w:after="283"/>
      <w:ind w:left="567" w:right="567"/>
    </w:p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styleId="Tablaconcuadrcula">
    <w:name w:val="Table Grid"/>
    <w:basedOn w:val="Tablanormal"/>
    <w:uiPriority w:val="3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31">
    <w:name w:val="Tabla de cuadrícula 31"/>
    <w:basedOn w:val="Tablanormal"/>
    <w:uiPriority w:val="48"/>
    <w:rsid w:val="001E549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rPr>
      <w:tblPr/>
      <w:tcPr>
        <w:tcBorders>
          <w:top w:val="nil"/>
          <w:left w:val="nil"/>
          <w:bottom w:val="nil"/>
          <w:insideH w:val="nil"/>
          <w:insideV w:val="nil"/>
        </w:tcBorders>
        <w:shd w:val="clear" w:color="auto" w:fill="FFFFFF" w:themeFill="background1"/>
      </w:tcPr>
    </w:tblStylePr>
    <w:tblStylePr w:type="lastCol">
      <w:rPr>
        <w:i/>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000000" w:themeColor="text1"/>
        </w:tcBorders>
      </w:tcPr>
    </w:tblStylePr>
    <w:tblStylePr w:type="nwCell">
      <w:tblPr/>
      <w:tcPr>
        <w:tcBorders>
          <w:bottom w:val="single" w:sz="4" w:space="0" w:color="000000" w:themeColor="text1"/>
        </w:tcBorders>
      </w:tcPr>
    </w:tblStylePr>
    <w:tblStylePr w:type="seCell">
      <w:tblPr/>
      <w:tcPr>
        <w:tcBorders>
          <w:top w:val="single" w:sz="4" w:space="0" w:color="000000" w:themeColor="text1"/>
        </w:tcBorders>
      </w:tcPr>
    </w:tblStylePr>
    <w:tblStylePr w:type="swCell">
      <w:tblPr/>
      <w:tcPr>
        <w:tcBorders>
          <w:top w:val="single" w:sz="4" w:space="0" w:color="000000" w:themeColor="text1"/>
        </w:tcBorders>
      </w:tcPr>
    </w:tblStylePr>
  </w:style>
  <w:style w:type="table" w:customStyle="1" w:styleId="Tabladecuadrcula1clara-nfasis11">
    <w:name w:val="Tabla de cuadrícula 1 clara - Énfasis 11"/>
    <w:basedOn w:val="Tablanormal"/>
    <w:uiPriority w:val="46"/>
    <w:rsid w:val="00D65130"/>
    <w:rPr>
      <w:rFonts w:asciiTheme="minorHAnsi" w:eastAsiaTheme="minorHAnsi" w:hAnsiTheme="minorHAnsi" w:cstheme="minorBidi"/>
      <w:sz w:val="22"/>
      <w:szCs w:val="22"/>
      <w:lang w:val="es-CO"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4F81BD" w:themeColor="accent1"/>
        </w:tcBorders>
      </w:tcPr>
    </w:tblStylePr>
    <w:tblStylePr w:type="lastRow">
      <w:rPr>
        <w:b/>
        <w:bCs/>
      </w:rPr>
      <w:tblPr/>
      <w:tcPr>
        <w:tcBorders>
          <w:top w:val="double" w:sz="2" w:space="0" w:color="4F81BD" w:themeColor="accent1"/>
        </w:tcBorders>
      </w:tcPr>
    </w:tblStylePr>
    <w:tblStylePr w:type="firstCol">
      <w:rPr>
        <w:b/>
        <w:bCs/>
      </w:rPr>
    </w:tblStylePr>
    <w:tblStylePr w:type="lastCol">
      <w:rPr>
        <w:b/>
        <w:bCs/>
      </w:rPr>
    </w:tblStylePr>
  </w:style>
  <w:style w:type="table" w:customStyle="1" w:styleId="a">
    <w:basedOn w:val="TableNormal1"/>
    <w:tblPr>
      <w:tblStyleRowBandSize w:val="1"/>
      <w:tblStyleColBandSize w:val="1"/>
      <w:tblCellMar>
        <w:top w:w="100" w:type="dxa"/>
        <w:left w:w="100" w:type="dxa"/>
        <w:bottom w:w="100" w:type="dxa"/>
        <w:right w:w="100" w:type="dxa"/>
      </w:tblCellMar>
    </w:tblPr>
  </w:style>
  <w:style w:type="table" w:customStyle="1" w:styleId="a0">
    <w:basedOn w:val="TableNormal1"/>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3" Type="http://schemas.openxmlformats.org/officeDocument/2006/relationships/hyperlink" Target="https://www.integracionsocial.gov.co/index.php/noticias/100-emergencia-social-y-natural" TargetMode="External"/><Relationship Id="rId2" Type="http://schemas.openxmlformats.org/officeDocument/2006/relationships/hyperlink" Target="http://bomberosbogota.gov.co/content/incendios-estructurales-bogota" TargetMode="External"/><Relationship Id="rId1" Type="http://schemas.openxmlformats.org/officeDocument/2006/relationships/hyperlink" Target="https://anraci.org/blog/estadisticas-de-incendios-estructurales-en-bogot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Dd7hSMF2kdggCEkOUwZNwUzHTg==">CgMxLjAaHwoBMBIaChgICVIUChJ0YWJsZS5mdHhqcDZwM3pwcmMyCWguMzBqMHpsbDIJaC4xZm9iOXRlMgloLjN6bnlzaDcyCWguMmV0OTJwMDIIaC50eWpjd3QyCWguMXQzaDVzZjIJaC40ZDM0b2c4Mg5oLnhydHpjbXhtOWhneTgAciExZkNGa3FodFpIa0JQMDJnWnlJYUNSbTJiTVMxS0lPTW0=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4946</Words>
  <Characters>27203</Characters>
  <Application>Microsoft Office Word</Application>
  <DocSecurity>0</DocSecurity>
  <Lines>226</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H.CONCEJAL ROLANDO ALBERTO GONZALEZ GARCIA</dc:creator>
  <cp:lastModifiedBy>GLORIA INES CELY LUNA</cp:lastModifiedBy>
  <cp:revision>2</cp:revision>
  <cp:lastPrinted>2025-02-10T17:03:00Z</cp:lastPrinted>
  <dcterms:created xsi:type="dcterms:W3CDTF">2025-02-10T23:04:00Z</dcterms:created>
  <dcterms:modified xsi:type="dcterms:W3CDTF">2025-02-10T23:04:00Z</dcterms:modified>
</cp:coreProperties>
</file>